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4A5ED" w14:textId="20C13DA4" w:rsidR="00577684" w:rsidRPr="00577684" w:rsidRDefault="00577684">
      <w:pPr>
        <w:rPr>
          <w:rFonts w:ascii="Cambria" w:hAnsi="Cambria"/>
          <w:b/>
          <w:bCs/>
          <w:sz w:val="28"/>
          <w:szCs w:val="28"/>
        </w:rPr>
      </w:pPr>
      <w:r w:rsidRPr="00577684">
        <w:rPr>
          <w:rFonts w:ascii="Cambria" w:hAnsi="Cambria"/>
          <w:b/>
          <w:bCs/>
          <w:sz w:val="28"/>
          <w:szCs w:val="28"/>
        </w:rPr>
        <w:t>Contemporary Famines and Near-Famines</w:t>
      </w:r>
    </w:p>
    <w:p w14:paraId="5EF7F242" w14:textId="77777777" w:rsidR="00577684" w:rsidRDefault="00577684">
      <w:pPr>
        <w:rPr>
          <w:rFonts w:ascii="Cambria" w:hAnsi="Cambria"/>
        </w:rPr>
      </w:pPr>
    </w:p>
    <w:p w14:paraId="24FA6779" w14:textId="387E43B3" w:rsidR="00EB4BB3" w:rsidRPr="005F7ACB" w:rsidRDefault="005668A6">
      <w:pPr>
        <w:rPr>
          <w:rFonts w:ascii="Cambria" w:hAnsi="Cambria"/>
        </w:rPr>
      </w:pPr>
      <w:r w:rsidRPr="005F7ACB">
        <w:rPr>
          <w:rFonts w:ascii="Cambria" w:hAnsi="Cambria"/>
        </w:rPr>
        <w:t>Cases considered by IPC Famine Review Committee</w:t>
      </w:r>
      <w:r w:rsidR="005F7ACB" w:rsidRPr="005F7ACB">
        <w:rPr>
          <w:rFonts w:ascii="Cambria" w:hAnsi="Cambria"/>
        </w:rPr>
        <w:t>, 2011-2024</w:t>
      </w:r>
    </w:p>
    <w:tbl>
      <w:tblPr>
        <w:tblW w:w="12325" w:type="dxa"/>
        <w:tblLook w:val="04A0" w:firstRow="1" w:lastRow="0" w:firstColumn="1" w:lastColumn="0" w:noHBand="0" w:noVBand="1"/>
      </w:tblPr>
      <w:tblGrid>
        <w:gridCol w:w="1345"/>
        <w:gridCol w:w="1350"/>
        <w:gridCol w:w="1890"/>
        <w:gridCol w:w="1980"/>
        <w:gridCol w:w="1170"/>
        <w:gridCol w:w="990"/>
        <w:gridCol w:w="1080"/>
        <w:gridCol w:w="990"/>
        <w:gridCol w:w="1530"/>
      </w:tblGrid>
      <w:tr w:rsidR="005F7ACB" w:rsidRPr="005F7ACB" w14:paraId="468E1B8E" w14:textId="77777777" w:rsidTr="00EE269E">
        <w:trPr>
          <w:trHeight w:val="405"/>
        </w:trPr>
        <w:tc>
          <w:tcPr>
            <w:tcW w:w="1345" w:type="dxa"/>
            <w:tcBorders>
              <w:top w:val="single" w:sz="4" w:space="0" w:color="A5A5A5"/>
              <w:left w:val="single" w:sz="4" w:space="0" w:color="A5A5A5"/>
              <w:bottom w:val="single" w:sz="4" w:space="0" w:color="3F3F3F"/>
              <w:right w:val="single" w:sz="4" w:space="0" w:color="A5A5A5"/>
            </w:tcBorders>
            <w:shd w:val="clear" w:color="000000" w:fill="BDC0BF"/>
            <w:noWrap/>
            <w:hideMark/>
          </w:tcPr>
          <w:p w14:paraId="6A20331F" w14:textId="25E4613F" w:rsidR="005F7ACB" w:rsidRPr="005F7ACB" w:rsidRDefault="005F7ACB" w:rsidP="005668A6">
            <w:pPr>
              <w:rPr>
                <w:rFonts w:ascii="Cambria" w:eastAsia="Times New Roman" w:hAnsi="Cambria" w:cs="Times New Roman"/>
                <w:b/>
                <w:bCs/>
                <w:color w:val="000000"/>
                <w:kern w:val="0"/>
                <w:sz w:val="20"/>
                <w:szCs w:val="20"/>
                <w14:ligatures w14:val="none"/>
              </w:rPr>
            </w:pPr>
            <w:r w:rsidRPr="005F7ACB">
              <w:rPr>
                <w:rFonts w:ascii="Cambria" w:eastAsia="Times New Roman" w:hAnsi="Cambria" w:cs="Times New Roman"/>
                <w:b/>
                <w:bCs/>
                <w:color w:val="000000"/>
                <w:kern w:val="0"/>
                <w:sz w:val="20"/>
                <w:szCs w:val="20"/>
                <w14:ligatures w14:val="none"/>
              </w:rPr>
              <w:t>Date of FRC analysis</w:t>
            </w:r>
          </w:p>
        </w:tc>
        <w:tc>
          <w:tcPr>
            <w:tcW w:w="1350" w:type="dxa"/>
            <w:tcBorders>
              <w:top w:val="single" w:sz="4" w:space="0" w:color="A5A5A5"/>
              <w:left w:val="nil"/>
              <w:bottom w:val="single" w:sz="4" w:space="0" w:color="3F3F3F"/>
              <w:right w:val="single" w:sz="4" w:space="0" w:color="A5A5A5"/>
            </w:tcBorders>
            <w:shd w:val="clear" w:color="000000" w:fill="BDC0BF"/>
            <w:noWrap/>
            <w:hideMark/>
          </w:tcPr>
          <w:p w14:paraId="70560CEB" w14:textId="70819E7E" w:rsidR="005F7ACB" w:rsidRPr="00116652" w:rsidRDefault="005F7ACB" w:rsidP="005668A6">
            <w:pPr>
              <w:rPr>
                <w:rFonts w:ascii="Cambria" w:eastAsia="Times New Roman" w:hAnsi="Cambria" w:cs="Times New Roman"/>
                <w:b/>
                <w:bCs/>
                <w:color w:val="000000"/>
                <w:kern w:val="0"/>
                <w:sz w:val="20"/>
                <w:szCs w:val="20"/>
                <w14:ligatures w14:val="none"/>
              </w:rPr>
            </w:pPr>
            <w:r w:rsidRPr="00116652">
              <w:rPr>
                <w:rFonts w:ascii="Cambria" w:eastAsia="Times New Roman" w:hAnsi="Cambria" w:cs="Times New Roman"/>
                <w:b/>
                <w:bCs/>
                <w:color w:val="000000"/>
                <w:kern w:val="0"/>
                <w:sz w:val="20"/>
                <w:szCs w:val="20"/>
                <w14:ligatures w14:val="none"/>
              </w:rPr>
              <w:t>Country</w:t>
            </w:r>
            <w:r w:rsidR="00CF1906" w:rsidRPr="00116652">
              <w:rPr>
                <w:rFonts w:ascii="Cambria" w:eastAsia="Times New Roman" w:hAnsi="Cambria" w:cs="Times New Roman"/>
                <w:b/>
                <w:bCs/>
                <w:color w:val="000000"/>
                <w:kern w:val="0"/>
                <w:sz w:val="20"/>
                <w:szCs w:val="20"/>
                <w14:ligatures w14:val="none"/>
              </w:rPr>
              <w:t>/ territory</w:t>
            </w:r>
          </w:p>
        </w:tc>
        <w:tc>
          <w:tcPr>
            <w:tcW w:w="1890" w:type="dxa"/>
            <w:tcBorders>
              <w:top w:val="single" w:sz="4" w:space="0" w:color="A5A5A5"/>
              <w:left w:val="nil"/>
              <w:bottom w:val="single" w:sz="4" w:space="0" w:color="3F3F3F"/>
              <w:right w:val="single" w:sz="4" w:space="0" w:color="A5A5A5"/>
            </w:tcBorders>
            <w:shd w:val="clear" w:color="000000" w:fill="BDC0BF"/>
            <w:noWrap/>
            <w:hideMark/>
          </w:tcPr>
          <w:p w14:paraId="303A795A" w14:textId="77777777" w:rsidR="005F7ACB" w:rsidRPr="005F7ACB" w:rsidRDefault="005F7ACB" w:rsidP="005668A6">
            <w:pPr>
              <w:rPr>
                <w:rFonts w:ascii="Cambria" w:eastAsia="Times New Roman" w:hAnsi="Cambria" w:cs="Times New Roman"/>
                <w:b/>
                <w:bCs/>
                <w:color w:val="000000"/>
                <w:kern w:val="0"/>
                <w:sz w:val="20"/>
                <w:szCs w:val="20"/>
                <w14:ligatures w14:val="none"/>
              </w:rPr>
            </w:pPr>
            <w:r w:rsidRPr="005F7ACB">
              <w:rPr>
                <w:rFonts w:ascii="Cambria" w:eastAsia="Times New Roman" w:hAnsi="Cambria" w:cs="Times New Roman"/>
                <w:b/>
                <w:bCs/>
                <w:color w:val="000000"/>
                <w:kern w:val="0"/>
                <w:sz w:val="20"/>
                <w:szCs w:val="20"/>
                <w14:ligatures w14:val="none"/>
              </w:rPr>
              <w:t>Main location of crisis</w:t>
            </w:r>
          </w:p>
        </w:tc>
        <w:tc>
          <w:tcPr>
            <w:tcW w:w="1980" w:type="dxa"/>
            <w:tcBorders>
              <w:top w:val="single" w:sz="4" w:space="0" w:color="A5A5A5"/>
              <w:left w:val="nil"/>
              <w:bottom w:val="single" w:sz="4" w:space="0" w:color="3F3F3F"/>
              <w:right w:val="single" w:sz="4" w:space="0" w:color="A5A5A5"/>
            </w:tcBorders>
            <w:shd w:val="clear" w:color="000000" w:fill="BDC0BF"/>
            <w:noWrap/>
            <w:hideMark/>
          </w:tcPr>
          <w:p w14:paraId="4E4E2D6A" w14:textId="77777777" w:rsidR="005F7ACB" w:rsidRPr="005F7ACB" w:rsidRDefault="005F7ACB" w:rsidP="005668A6">
            <w:pPr>
              <w:rPr>
                <w:rFonts w:ascii="Cambria" w:eastAsia="Times New Roman" w:hAnsi="Cambria" w:cs="Times New Roman"/>
                <w:b/>
                <w:bCs/>
                <w:color w:val="000000"/>
                <w:kern w:val="0"/>
                <w:sz w:val="20"/>
                <w:szCs w:val="20"/>
                <w14:ligatures w14:val="none"/>
              </w:rPr>
            </w:pPr>
            <w:r w:rsidRPr="005F7ACB">
              <w:rPr>
                <w:rFonts w:ascii="Cambria" w:eastAsia="Times New Roman" w:hAnsi="Cambria" w:cs="Times New Roman"/>
                <w:b/>
                <w:bCs/>
                <w:color w:val="000000"/>
                <w:kern w:val="0"/>
                <w:sz w:val="20"/>
                <w:szCs w:val="20"/>
                <w14:ligatures w14:val="none"/>
              </w:rPr>
              <w:t>FRC designation</w:t>
            </w:r>
          </w:p>
        </w:tc>
        <w:tc>
          <w:tcPr>
            <w:tcW w:w="1170" w:type="dxa"/>
            <w:tcBorders>
              <w:top w:val="single" w:sz="4" w:space="0" w:color="A5A5A5"/>
              <w:left w:val="nil"/>
              <w:bottom w:val="single" w:sz="4" w:space="0" w:color="3F3F3F"/>
              <w:right w:val="single" w:sz="4" w:space="0" w:color="A5A5A5"/>
            </w:tcBorders>
            <w:shd w:val="clear" w:color="000000" w:fill="BDC0BF"/>
            <w:noWrap/>
            <w:hideMark/>
          </w:tcPr>
          <w:p w14:paraId="74FB4396" w14:textId="77777777" w:rsidR="005F7ACB" w:rsidRPr="005F7ACB" w:rsidRDefault="005F7ACB" w:rsidP="005668A6">
            <w:pPr>
              <w:rPr>
                <w:rFonts w:ascii="Cambria" w:eastAsia="Times New Roman" w:hAnsi="Cambria" w:cs="Times New Roman"/>
                <w:b/>
                <w:bCs/>
                <w:color w:val="000000"/>
                <w:kern w:val="0"/>
                <w:sz w:val="20"/>
                <w:szCs w:val="20"/>
                <w14:ligatures w14:val="none"/>
              </w:rPr>
            </w:pPr>
            <w:r w:rsidRPr="005F7ACB">
              <w:rPr>
                <w:rFonts w:ascii="Cambria" w:eastAsia="Times New Roman" w:hAnsi="Cambria" w:cs="Times New Roman"/>
                <w:b/>
                <w:bCs/>
                <w:color w:val="000000"/>
                <w:kern w:val="0"/>
                <w:sz w:val="20"/>
                <w:szCs w:val="20"/>
                <w14:ligatures w14:val="none"/>
              </w:rPr>
              <w:t>#</w:t>
            </w:r>
          </w:p>
          <w:p w14:paraId="28310C6F" w14:textId="31ADD619" w:rsidR="005F7ACB" w:rsidRPr="005F7ACB" w:rsidRDefault="005F7ACB" w:rsidP="005668A6">
            <w:pPr>
              <w:rPr>
                <w:rFonts w:ascii="Cambria" w:eastAsia="Times New Roman" w:hAnsi="Cambria" w:cs="Times New Roman"/>
                <w:b/>
                <w:bCs/>
                <w:color w:val="000000"/>
                <w:kern w:val="0"/>
                <w:sz w:val="20"/>
                <w:szCs w:val="20"/>
                <w14:ligatures w14:val="none"/>
              </w:rPr>
            </w:pPr>
            <w:r w:rsidRPr="005F7ACB">
              <w:rPr>
                <w:rFonts w:ascii="Cambria" w:eastAsia="Times New Roman" w:hAnsi="Cambria" w:cs="Times New Roman"/>
                <w:b/>
                <w:bCs/>
                <w:color w:val="000000"/>
                <w:kern w:val="0"/>
                <w:sz w:val="20"/>
                <w:szCs w:val="20"/>
                <w14:ligatures w14:val="none"/>
              </w:rPr>
              <w:t>IPC4</w:t>
            </w:r>
          </w:p>
        </w:tc>
        <w:tc>
          <w:tcPr>
            <w:tcW w:w="990" w:type="dxa"/>
            <w:tcBorders>
              <w:top w:val="single" w:sz="4" w:space="0" w:color="A5A5A5"/>
              <w:left w:val="nil"/>
              <w:bottom w:val="single" w:sz="4" w:space="0" w:color="3F3F3F"/>
              <w:right w:val="single" w:sz="4" w:space="0" w:color="A5A5A5"/>
            </w:tcBorders>
            <w:shd w:val="clear" w:color="000000" w:fill="BDC0BF"/>
            <w:noWrap/>
            <w:hideMark/>
          </w:tcPr>
          <w:p w14:paraId="47394FA1" w14:textId="77777777" w:rsidR="005F7ACB" w:rsidRPr="005F7ACB" w:rsidRDefault="005F7ACB" w:rsidP="005668A6">
            <w:pPr>
              <w:rPr>
                <w:rFonts w:ascii="Cambria" w:eastAsia="Times New Roman" w:hAnsi="Cambria" w:cs="Times New Roman"/>
                <w:b/>
                <w:bCs/>
                <w:color w:val="000000"/>
                <w:kern w:val="0"/>
                <w:sz w:val="20"/>
                <w:szCs w:val="20"/>
                <w14:ligatures w14:val="none"/>
              </w:rPr>
            </w:pPr>
            <w:r w:rsidRPr="005F7ACB">
              <w:rPr>
                <w:rFonts w:ascii="Cambria" w:eastAsia="Times New Roman" w:hAnsi="Cambria" w:cs="Times New Roman"/>
                <w:b/>
                <w:bCs/>
                <w:color w:val="000000"/>
                <w:kern w:val="0"/>
                <w:sz w:val="20"/>
                <w:szCs w:val="20"/>
                <w14:ligatures w14:val="none"/>
              </w:rPr>
              <w:t>%</w:t>
            </w:r>
          </w:p>
          <w:p w14:paraId="7CB6B864" w14:textId="06E62C2C" w:rsidR="005F7ACB" w:rsidRPr="005F7ACB" w:rsidRDefault="005F7ACB" w:rsidP="005668A6">
            <w:pPr>
              <w:rPr>
                <w:rFonts w:ascii="Cambria" w:eastAsia="Times New Roman" w:hAnsi="Cambria" w:cs="Times New Roman"/>
                <w:b/>
                <w:bCs/>
                <w:color w:val="000000"/>
                <w:kern w:val="0"/>
                <w:sz w:val="20"/>
                <w:szCs w:val="20"/>
                <w14:ligatures w14:val="none"/>
              </w:rPr>
            </w:pPr>
            <w:r w:rsidRPr="005F7ACB">
              <w:rPr>
                <w:rFonts w:ascii="Cambria" w:eastAsia="Times New Roman" w:hAnsi="Cambria" w:cs="Times New Roman"/>
                <w:b/>
                <w:bCs/>
                <w:color w:val="000000"/>
                <w:kern w:val="0"/>
                <w:sz w:val="20"/>
                <w:szCs w:val="20"/>
                <w14:ligatures w14:val="none"/>
              </w:rPr>
              <w:t>IPC4</w:t>
            </w:r>
          </w:p>
        </w:tc>
        <w:tc>
          <w:tcPr>
            <w:tcW w:w="1080" w:type="dxa"/>
            <w:tcBorders>
              <w:top w:val="single" w:sz="4" w:space="0" w:color="A5A5A5"/>
              <w:left w:val="nil"/>
              <w:bottom w:val="single" w:sz="4" w:space="0" w:color="3F3F3F"/>
              <w:right w:val="single" w:sz="4" w:space="0" w:color="A5A5A5"/>
            </w:tcBorders>
            <w:shd w:val="clear" w:color="000000" w:fill="BDC0BF"/>
            <w:noWrap/>
            <w:hideMark/>
          </w:tcPr>
          <w:p w14:paraId="399C420D" w14:textId="77777777" w:rsidR="005F7ACB" w:rsidRPr="005F7ACB" w:rsidRDefault="005F7ACB" w:rsidP="005668A6">
            <w:pPr>
              <w:rPr>
                <w:rFonts w:ascii="Cambria" w:eastAsia="Times New Roman" w:hAnsi="Cambria" w:cs="Times New Roman"/>
                <w:b/>
                <w:bCs/>
                <w:color w:val="000000"/>
                <w:kern w:val="0"/>
                <w:sz w:val="20"/>
                <w:szCs w:val="20"/>
                <w14:ligatures w14:val="none"/>
              </w:rPr>
            </w:pPr>
            <w:r w:rsidRPr="005F7ACB">
              <w:rPr>
                <w:rFonts w:ascii="Cambria" w:eastAsia="Times New Roman" w:hAnsi="Cambria" w:cs="Times New Roman"/>
                <w:b/>
                <w:bCs/>
                <w:color w:val="000000"/>
                <w:kern w:val="0"/>
                <w:sz w:val="20"/>
                <w:szCs w:val="20"/>
                <w14:ligatures w14:val="none"/>
              </w:rPr>
              <w:t>#</w:t>
            </w:r>
          </w:p>
          <w:p w14:paraId="08CCCBC4" w14:textId="5E13D341" w:rsidR="005F7ACB" w:rsidRPr="005F7ACB" w:rsidRDefault="005F7ACB" w:rsidP="005668A6">
            <w:pPr>
              <w:rPr>
                <w:rFonts w:ascii="Cambria" w:eastAsia="Times New Roman" w:hAnsi="Cambria" w:cs="Times New Roman"/>
                <w:b/>
                <w:bCs/>
                <w:color w:val="000000"/>
                <w:kern w:val="0"/>
                <w:sz w:val="20"/>
                <w:szCs w:val="20"/>
                <w14:ligatures w14:val="none"/>
              </w:rPr>
            </w:pPr>
            <w:r w:rsidRPr="005F7ACB">
              <w:rPr>
                <w:rFonts w:ascii="Cambria" w:eastAsia="Times New Roman" w:hAnsi="Cambria" w:cs="Times New Roman"/>
                <w:b/>
                <w:bCs/>
                <w:color w:val="000000"/>
                <w:kern w:val="0"/>
                <w:sz w:val="20"/>
                <w:szCs w:val="20"/>
                <w14:ligatures w14:val="none"/>
              </w:rPr>
              <w:t>IPC5</w:t>
            </w:r>
          </w:p>
        </w:tc>
        <w:tc>
          <w:tcPr>
            <w:tcW w:w="990" w:type="dxa"/>
            <w:tcBorders>
              <w:top w:val="single" w:sz="4" w:space="0" w:color="A5A5A5"/>
              <w:left w:val="nil"/>
              <w:bottom w:val="single" w:sz="4" w:space="0" w:color="3F3F3F"/>
              <w:right w:val="single" w:sz="4" w:space="0" w:color="A5A5A5"/>
            </w:tcBorders>
            <w:shd w:val="clear" w:color="000000" w:fill="BDC0BF"/>
            <w:noWrap/>
            <w:hideMark/>
          </w:tcPr>
          <w:p w14:paraId="755D14B3" w14:textId="77777777" w:rsidR="005F7ACB" w:rsidRPr="005F7ACB" w:rsidRDefault="005F7ACB" w:rsidP="005668A6">
            <w:pPr>
              <w:rPr>
                <w:rFonts w:ascii="Cambria" w:eastAsia="Times New Roman" w:hAnsi="Cambria" w:cs="Times New Roman"/>
                <w:b/>
                <w:bCs/>
                <w:color w:val="000000"/>
                <w:kern w:val="0"/>
                <w:sz w:val="20"/>
                <w:szCs w:val="20"/>
                <w14:ligatures w14:val="none"/>
              </w:rPr>
            </w:pPr>
            <w:r w:rsidRPr="005F7ACB">
              <w:rPr>
                <w:rFonts w:ascii="Cambria" w:eastAsia="Times New Roman" w:hAnsi="Cambria" w:cs="Times New Roman"/>
                <w:b/>
                <w:bCs/>
                <w:color w:val="000000"/>
                <w:kern w:val="0"/>
                <w:sz w:val="20"/>
                <w:szCs w:val="20"/>
                <w14:ligatures w14:val="none"/>
              </w:rPr>
              <w:t>%</w:t>
            </w:r>
          </w:p>
          <w:p w14:paraId="33B1E636" w14:textId="3A9EB39B" w:rsidR="005F7ACB" w:rsidRPr="005F7ACB" w:rsidRDefault="005F7ACB" w:rsidP="005668A6">
            <w:pPr>
              <w:rPr>
                <w:rFonts w:ascii="Cambria" w:eastAsia="Times New Roman" w:hAnsi="Cambria" w:cs="Times New Roman"/>
                <w:b/>
                <w:bCs/>
                <w:color w:val="000000"/>
                <w:kern w:val="0"/>
                <w:sz w:val="20"/>
                <w:szCs w:val="20"/>
                <w14:ligatures w14:val="none"/>
              </w:rPr>
            </w:pPr>
            <w:r w:rsidRPr="005F7ACB">
              <w:rPr>
                <w:rFonts w:ascii="Cambria" w:eastAsia="Times New Roman" w:hAnsi="Cambria" w:cs="Times New Roman"/>
                <w:b/>
                <w:bCs/>
                <w:color w:val="000000"/>
                <w:kern w:val="0"/>
                <w:sz w:val="20"/>
                <w:szCs w:val="20"/>
                <w14:ligatures w14:val="none"/>
              </w:rPr>
              <w:t>IPC5</w:t>
            </w:r>
          </w:p>
        </w:tc>
        <w:tc>
          <w:tcPr>
            <w:tcW w:w="1530" w:type="dxa"/>
            <w:tcBorders>
              <w:top w:val="single" w:sz="4" w:space="0" w:color="A5A5A5"/>
              <w:left w:val="nil"/>
              <w:bottom w:val="single" w:sz="4" w:space="0" w:color="3F3F3F"/>
              <w:right w:val="single" w:sz="4" w:space="0" w:color="A5A5A5"/>
            </w:tcBorders>
            <w:shd w:val="clear" w:color="000000" w:fill="BDC0BF"/>
            <w:noWrap/>
            <w:hideMark/>
          </w:tcPr>
          <w:p w14:paraId="4AD96E72" w14:textId="721277C5" w:rsidR="005F7ACB" w:rsidRPr="005F7ACB" w:rsidRDefault="005F7ACB" w:rsidP="005668A6">
            <w:pPr>
              <w:rPr>
                <w:rFonts w:ascii="Cambria" w:eastAsia="Times New Roman" w:hAnsi="Cambria" w:cs="Times New Roman"/>
                <w:b/>
                <w:bCs/>
                <w:color w:val="000000"/>
                <w:kern w:val="0"/>
                <w:sz w:val="20"/>
                <w:szCs w:val="20"/>
                <w14:ligatures w14:val="none"/>
              </w:rPr>
            </w:pPr>
            <w:r w:rsidRPr="005F7ACB">
              <w:rPr>
                <w:rFonts w:ascii="Cambria" w:eastAsia="Times New Roman" w:hAnsi="Cambria" w:cs="Times New Roman"/>
                <w:b/>
                <w:bCs/>
                <w:color w:val="000000"/>
                <w:kern w:val="0"/>
                <w:sz w:val="20"/>
                <w:szCs w:val="20"/>
                <w14:ligatures w14:val="none"/>
              </w:rPr>
              <w:t>Aggregate mortality est</w:t>
            </w:r>
            <w:r>
              <w:rPr>
                <w:rFonts w:ascii="Cambria" w:eastAsia="Times New Roman" w:hAnsi="Cambria" w:cs="Times New Roman"/>
                <w:b/>
                <w:bCs/>
                <w:color w:val="000000"/>
                <w:kern w:val="0"/>
                <w:sz w:val="20"/>
                <w:szCs w:val="20"/>
                <w14:ligatures w14:val="none"/>
              </w:rPr>
              <w:t>imate</w:t>
            </w:r>
          </w:p>
        </w:tc>
      </w:tr>
      <w:tr w:rsidR="005F7ACB" w:rsidRPr="005F7ACB" w14:paraId="4A317CC3" w14:textId="77777777" w:rsidTr="00EE269E">
        <w:trPr>
          <w:trHeight w:val="405"/>
        </w:trPr>
        <w:tc>
          <w:tcPr>
            <w:tcW w:w="1345" w:type="dxa"/>
            <w:tcBorders>
              <w:top w:val="nil"/>
              <w:left w:val="single" w:sz="4" w:space="0" w:color="3F3F3F"/>
              <w:bottom w:val="single" w:sz="4" w:space="0" w:color="A5A5A5"/>
              <w:right w:val="single" w:sz="4" w:space="0" w:color="A5A5A5"/>
            </w:tcBorders>
            <w:shd w:val="clear" w:color="auto" w:fill="auto"/>
            <w:noWrap/>
            <w:hideMark/>
          </w:tcPr>
          <w:p w14:paraId="54C402DB"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July 2011-February 2012</w:t>
            </w:r>
          </w:p>
        </w:tc>
        <w:tc>
          <w:tcPr>
            <w:tcW w:w="1350" w:type="dxa"/>
            <w:vMerge w:val="restart"/>
            <w:tcBorders>
              <w:top w:val="nil"/>
              <w:left w:val="nil"/>
              <w:right w:val="single" w:sz="4" w:space="0" w:color="A5A5A5"/>
            </w:tcBorders>
            <w:shd w:val="clear" w:color="auto" w:fill="auto"/>
            <w:noWrap/>
            <w:hideMark/>
          </w:tcPr>
          <w:p w14:paraId="0EDBD86B" w14:textId="77777777" w:rsidR="005F7ACB" w:rsidRPr="00116652" w:rsidRDefault="005F7ACB" w:rsidP="005668A6">
            <w:pPr>
              <w:rPr>
                <w:rFonts w:ascii="Cambria" w:eastAsia="Times New Roman" w:hAnsi="Cambria" w:cs="Times New Roman"/>
                <w:b/>
                <w:bCs/>
                <w:color w:val="000000"/>
                <w:kern w:val="0"/>
                <w:sz w:val="20"/>
                <w:szCs w:val="20"/>
                <w14:ligatures w14:val="none"/>
              </w:rPr>
            </w:pPr>
          </w:p>
          <w:p w14:paraId="5BCBB1E1" w14:textId="77777777" w:rsidR="005F7ACB" w:rsidRPr="00116652" w:rsidRDefault="005F7ACB" w:rsidP="005668A6">
            <w:pPr>
              <w:rPr>
                <w:rFonts w:ascii="Cambria" w:eastAsia="Times New Roman" w:hAnsi="Cambria" w:cs="Times New Roman"/>
                <w:b/>
                <w:bCs/>
                <w:color w:val="000000"/>
                <w:kern w:val="0"/>
                <w:sz w:val="20"/>
                <w:szCs w:val="20"/>
                <w14:ligatures w14:val="none"/>
              </w:rPr>
            </w:pPr>
          </w:p>
          <w:p w14:paraId="65C5CC50" w14:textId="77777777" w:rsidR="00CF1906" w:rsidRPr="00116652" w:rsidRDefault="00CF1906" w:rsidP="005668A6">
            <w:pPr>
              <w:rPr>
                <w:rFonts w:ascii="Cambria" w:eastAsia="Times New Roman" w:hAnsi="Cambria" w:cs="Times New Roman"/>
                <w:b/>
                <w:bCs/>
                <w:color w:val="000000"/>
                <w:kern w:val="0"/>
                <w:sz w:val="20"/>
                <w:szCs w:val="20"/>
                <w14:ligatures w14:val="none"/>
              </w:rPr>
            </w:pPr>
          </w:p>
          <w:p w14:paraId="7EAE7774" w14:textId="6B9F9FE4" w:rsidR="005F7ACB" w:rsidRPr="00116652" w:rsidRDefault="005F7ACB" w:rsidP="005668A6">
            <w:pPr>
              <w:rPr>
                <w:rFonts w:ascii="Cambria" w:eastAsia="Times New Roman" w:hAnsi="Cambria" w:cs="Times New Roman"/>
                <w:b/>
                <w:bCs/>
                <w:color w:val="000000"/>
                <w:kern w:val="0"/>
                <w:sz w:val="20"/>
                <w:szCs w:val="20"/>
                <w14:ligatures w14:val="none"/>
              </w:rPr>
            </w:pPr>
            <w:r w:rsidRPr="00116652">
              <w:rPr>
                <w:rFonts w:ascii="Cambria" w:eastAsia="Times New Roman" w:hAnsi="Cambria" w:cs="Times New Roman"/>
                <w:b/>
                <w:bCs/>
                <w:color w:val="000000"/>
                <w:kern w:val="0"/>
                <w:sz w:val="20"/>
                <w:szCs w:val="20"/>
                <w14:ligatures w14:val="none"/>
              </w:rPr>
              <w:t>Somalia</w:t>
            </w:r>
          </w:p>
        </w:tc>
        <w:tc>
          <w:tcPr>
            <w:tcW w:w="1890" w:type="dxa"/>
            <w:tcBorders>
              <w:top w:val="nil"/>
              <w:left w:val="nil"/>
              <w:bottom w:val="single" w:sz="4" w:space="0" w:color="A5A5A5"/>
              <w:right w:val="single" w:sz="4" w:space="0" w:color="A5A5A5"/>
            </w:tcBorders>
            <w:shd w:val="clear" w:color="auto" w:fill="auto"/>
            <w:noWrap/>
            <w:hideMark/>
          </w:tcPr>
          <w:p w14:paraId="06298C90"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South central</w:t>
            </w:r>
          </w:p>
        </w:tc>
        <w:tc>
          <w:tcPr>
            <w:tcW w:w="1980" w:type="dxa"/>
            <w:tcBorders>
              <w:top w:val="nil"/>
              <w:left w:val="nil"/>
              <w:bottom w:val="single" w:sz="4" w:space="0" w:color="A5A5A5"/>
              <w:right w:val="single" w:sz="4" w:space="0" w:color="A5A5A5"/>
            </w:tcBorders>
            <w:shd w:val="clear" w:color="auto" w:fill="auto"/>
            <w:noWrap/>
            <w:hideMark/>
          </w:tcPr>
          <w:p w14:paraId="030227B0" w14:textId="77777777" w:rsidR="005F7ACB" w:rsidRPr="00B2074E" w:rsidRDefault="005F7ACB" w:rsidP="005668A6">
            <w:pPr>
              <w:rPr>
                <w:rFonts w:ascii="Cambria" w:eastAsia="Times New Roman" w:hAnsi="Cambria" w:cs="Times New Roman"/>
                <w:b/>
                <w:bCs/>
                <w:color w:val="000000"/>
                <w:kern w:val="0"/>
                <w:sz w:val="20"/>
                <w:szCs w:val="20"/>
                <w14:ligatures w14:val="none"/>
              </w:rPr>
            </w:pPr>
            <w:r w:rsidRPr="00B2074E">
              <w:rPr>
                <w:rFonts w:ascii="Cambria" w:eastAsia="Times New Roman" w:hAnsi="Cambria" w:cs="Times New Roman"/>
                <w:b/>
                <w:bCs/>
                <w:color w:val="000000"/>
                <w:kern w:val="0"/>
                <w:sz w:val="20"/>
                <w:szCs w:val="20"/>
                <w14:ligatures w14:val="none"/>
              </w:rPr>
              <w:t>Famine</w:t>
            </w:r>
          </w:p>
        </w:tc>
        <w:tc>
          <w:tcPr>
            <w:tcW w:w="1170" w:type="dxa"/>
            <w:tcBorders>
              <w:top w:val="nil"/>
              <w:left w:val="nil"/>
              <w:bottom w:val="single" w:sz="4" w:space="0" w:color="A5A5A5"/>
              <w:right w:val="single" w:sz="4" w:space="0" w:color="A5A5A5"/>
            </w:tcBorders>
            <w:shd w:val="clear" w:color="auto" w:fill="auto"/>
            <w:noWrap/>
            <w:hideMark/>
          </w:tcPr>
          <w:p w14:paraId="04B94755"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1,815,000</w:t>
            </w:r>
          </w:p>
        </w:tc>
        <w:tc>
          <w:tcPr>
            <w:tcW w:w="990" w:type="dxa"/>
            <w:tcBorders>
              <w:top w:val="nil"/>
              <w:left w:val="nil"/>
              <w:bottom w:val="single" w:sz="4" w:space="0" w:color="A5A5A5"/>
              <w:right w:val="single" w:sz="4" w:space="0" w:color="A5A5A5"/>
            </w:tcBorders>
            <w:shd w:val="clear" w:color="auto" w:fill="auto"/>
            <w:noWrap/>
            <w:hideMark/>
          </w:tcPr>
          <w:p w14:paraId="52F24ACB"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24%</w:t>
            </w:r>
          </w:p>
        </w:tc>
        <w:tc>
          <w:tcPr>
            <w:tcW w:w="1080" w:type="dxa"/>
            <w:tcBorders>
              <w:top w:val="nil"/>
              <w:left w:val="nil"/>
              <w:bottom w:val="single" w:sz="4" w:space="0" w:color="A5A5A5"/>
              <w:right w:val="single" w:sz="4" w:space="0" w:color="A5A5A5"/>
            </w:tcBorders>
            <w:shd w:val="clear" w:color="auto" w:fill="auto"/>
            <w:noWrap/>
            <w:hideMark/>
          </w:tcPr>
          <w:p w14:paraId="342C2017"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490,000</w:t>
            </w:r>
          </w:p>
        </w:tc>
        <w:tc>
          <w:tcPr>
            <w:tcW w:w="990" w:type="dxa"/>
            <w:tcBorders>
              <w:top w:val="nil"/>
              <w:left w:val="nil"/>
              <w:bottom w:val="single" w:sz="4" w:space="0" w:color="A5A5A5"/>
              <w:right w:val="single" w:sz="4" w:space="0" w:color="A5A5A5"/>
            </w:tcBorders>
            <w:shd w:val="clear" w:color="auto" w:fill="auto"/>
            <w:noWrap/>
            <w:hideMark/>
          </w:tcPr>
          <w:p w14:paraId="1BD7D618"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7%</w:t>
            </w:r>
          </w:p>
        </w:tc>
        <w:tc>
          <w:tcPr>
            <w:tcW w:w="1530" w:type="dxa"/>
            <w:tcBorders>
              <w:top w:val="nil"/>
              <w:left w:val="nil"/>
              <w:bottom w:val="single" w:sz="4" w:space="0" w:color="A5A5A5"/>
              <w:right w:val="single" w:sz="4" w:space="0" w:color="A5A5A5"/>
            </w:tcBorders>
            <w:shd w:val="clear" w:color="auto" w:fill="auto"/>
            <w:noWrap/>
            <w:hideMark/>
          </w:tcPr>
          <w:p w14:paraId="2659DAC3" w14:textId="77777777" w:rsid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258,000</w:t>
            </w:r>
            <w:r>
              <w:rPr>
                <w:rFonts w:ascii="Cambria" w:eastAsia="Times New Roman" w:hAnsi="Cambria" w:cs="Times New Roman"/>
                <w:color w:val="000000"/>
                <w:kern w:val="0"/>
                <w:sz w:val="20"/>
                <w:szCs w:val="20"/>
                <w14:ligatures w14:val="none"/>
              </w:rPr>
              <w:t xml:space="preserve"> </w:t>
            </w:r>
          </w:p>
          <w:p w14:paraId="423D11FD" w14:textId="40A9C7C9" w:rsidR="005F7ACB" w:rsidRPr="005F7ACB" w:rsidRDefault="005F7ACB" w:rsidP="005668A6">
            <w:pPr>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(2010-12)</w:t>
            </w:r>
          </w:p>
        </w:tc>
      </w:tr>
      <w:tr w:rsidR="005F7ACB" w:rsidRPr="005F7ACB" w14:paraId="6D0EEE4C"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678C13AA"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January 2017</w:t>
            </w:r>
          </w:p>
        </w:tc>
        <w:tc>
          <w:tcPr>
            <w:tcW w:w="1350" w:type="dxa"/>
            <w:vMerge/>
            <w:tcBorders>
              <w:left w:val="nil"/>
              <w:right w:val="single" w:sz="4" w:space="0" w:color="A5A5A5"/>
            </w:tcBorders>
            <w:shd w:val="clear" w:color="auto" w:fill="auto"/>
            <w:noWrap/>
            <w:hideMark/>
          </w:tcPr>
          <w:p w14:paraId="03DB3DE6" w14:textId="012A6BF6" w:rsidR="005F7ACB" w:rsidRPr="00116652" w:rsidRDefault="005F7ACB" w:rsidP="005668A6">
            <w:pPr>
              <w:rPr>
                <w:rFonts w:ascii="Cambria" w:eastAsia="Times New Roman" w:hAnsi="Cambria" w:cs="Times New Roman"/>
                <w:b/>
                <w:bCs/>
                <w:color w:val="000000"/>
                <w:kern w:val="0"/>
                <w:sz w:val="20"/>
                <w:szCs w:val="20"/>
                <w14:ligatures w14:val="none"/>
              </w:rPr>
            </w:pPr>
          </w:p>
        </w:tc>
        <w:tc>
          <w:tcPr>
            <w:tcW w:w="1890" w:type="dxa"/>
            <w:tcBorders>
              <w:top w:val="nil"/>
              <w:left w:val="nil"/>
              <w:bottom w:val="single" w:sz="4" w:space="0" w:color="A5A5A5"/>
              <w:right w:val="single" w:sz="4" w:space="0" w:color="A5A5A5"/>
            </w:tcBorders>
            <w:shd w:val="clear" w:color="auto" w:fill="auto"/>
            <w:noWrap/>
            <w:hideMark/>
          </w:tcPr>
          <w:p w14:paraId="0CE24B91"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 xml:space="preserve">Central   </w:t>
            </w:r>
          </w:p>
        </w:tc>
        <w:tc>
          <w:tcPr>
            <w:tcW w:w="1980" w:type="dxa"/>
            <w:tcBorders>
              <w:top w:val="nil"/>
              <w:left w:val="nil"/>
              <w:bottom w:val="single" w:sz="4" w:space="0" w:color="A5A5A5"/>
              <w:right w:val="single" w:sz="4" w:space="0" w:color="A5A5A5"/>
            </w:tcBorders>
            <w:shd w:val="clear" w:color="auto" w:fill="auto"/>
            <w:noWrap/>
            <w:hideMark/>
          </w:tcPr>
          <w:p w14:paraId="6079B731"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Projection</w:t>
            </w:r>
          </w:p>
        </w:tc>
        <w:tc>
          <w:tcPr>
            <w:tcW w:w="1170" w:type="dxa"/>
            <w:tcBorders>
              <w:top w:val="nil"/>
              <w:left w:val="nil"/>
              <w:bottom w:val="single" w:sz="4" w:space="0" w:color="A5A5A5"/>
              <w:right w:val="single" w:sz="4" w:space="0" w:color="A5A5A5"/>
            </w:tcBorders>
            <w:shd w:val="clear" w:color="auto" w:fill="auto"/>
            <w:noWrap/>
            <w:hideMark/>
          </w:tcPr>
          <w:p w14:paraId="3875B183"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439,000</w:t>
            </w:r>
          </w:p>
        </w:tc>
        <w:tc>
          <w:tcPr>
            <w:tcW w:w="990" w:type="dxa"/>
            <w:tcBorders>
              <w:top w:val="nil"/>
              <w:left w:val="nil"/>
              <w:bottom w:val="single" w:sz="4" w:space="0" w:color="A5A5A5"/>
              <w:right w:val="single" w:sz="4" w:space="0" w:color="A5A5A5"/>
            </w:tcBorders>
            <w:shd w:val="clear" w:color="auto" w:fill="auto"/>
            <w:noWrap/>
            <w:hideMark/>
          </w:tcPr>
          <w:p w14:paraId="1627B8D9"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4%</w:t>
            </w:r>
          </w:p>
        </w:tc>
        <w:tc>
          <w:tcPr>
            <w:tcW w:w="1080" w:type="dxa"/>
            <w:tcBorders>
              <w:top w:val="nil"/>
              <w:left w:val="nil"/>
              <w:bottom w:val="single" w:sz="4" w:space="0" w:color="A5A5A5"/>
              <w:right w:val="single" w:sz="4" w:space="0" w:color="A5A5A5"/>
            </w:tcBorders>
            <w:shd w:val="clear" w:color="auto" w:fill="auto"/>
            <w:noWrap/>
            <w:hideMark/>
          </w:tcPr>
          <w:p w14:paraId="0CEB1089"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0</w:t>
            </w:r>
          </w:p>
        </w:tc>
        <w:tc>
          <w:tcPr>
            <w:tcW w:w="990" w:type="dxa"/>
            <w:tcBorders>
              <w:top w:val="nil"/>
              <w:left w:val="nil"/>
              <w:bottom w:val="single" w:sz="4" w:space="0" w:color="A5A5A5"/>
              <w:right w:val="single" w:sz="4" w:space="0" w:color="A5A5A5"/>
            </w:tcBorders>
            <w:shd w:val="clear" w:color="auto" w:fill="auto"/>
            <w:noWrap/>
            <w:hideMark/>
          </w:tcPr>
          <w:p w14:paraId="30E617FC"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0%</w:t>
            </w:r>
          </w:p>
        </w:tc>
        <w:tc>
          <w:tcPr>
            <w:tcW w:w="1530" w:type="dxa"/>
            <w:tcBorders>
              <w:top w:val="nil"/>
              <w:left w:val="nil"/>
              <w:bottom w:val="single" w:sz="4" w:space="0" w:color="A5A5A5"/>
              <w:right w:val="single" w:sz="4" w:space="0" w:color="A5A5A5"/>
            </w:tcBorders>
            <w:shd w:val="clear" w:color="auto" w:fill="auto"/>
            <w:noWrap/>
            <w:hideMark/>
          </w:tcPr>
          <w:p w14:paraId="4DB9B9FD" w14:textId="77777777" w:rsid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44,700</w:t>
            </w:r>
          </w:p>
          <w:p w14:paraId="0632EB94" w14:textId="63247E80" w:rsidR="005F7ACB" w:rsidRPr="005F7ACB" w:rsidRDefault="005F7ACB" w:rsidP="005668A6">
            <w:pPr>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(2014-18)</w:t>
            </w:r>
          </w:p>
        </w:tc>
      </w:tr>
      <w:tr w:rsidR="005F7ACB" w:rsidRPr="005F7ACB" w14:paraId="6428F1B6"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70D8DADC"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April &amp; November 2022</w:t>
            </w:r>
          </w:p>
        </w:tc>
        <w:tc>
          <w:tcPr>
            <w:tcW w:w="1350" w:type="dxa"/>
            <w:vMerge/>
            <w:tcBorders>
              <w:left w:val="nil"/>
              <w:bottom w:val="single" w:sz="4" w:space="0" w:color="A5A5A5"/>
              <w:right w:val="single" w:sz="4" w:space="0" w:color="A5A5A5"/>
            </w:tcBorders>
            <w:shd w:val="clear" w:color="auto" w:fill="auto"/>
            <w:noWrap/>
            <w:hideMark/>
          </w:tcPr>
          <w:p w14:paraId="4A511080" w14:textId="7F8E3F33" w:rsidR="005F7ACB" w:rsidRPr="00116652" w:rsidRDefault="005F7ACB" w:rsidP="005668A6">
            <w:pPr>
              <w:rPr>
                <w:rFonts w:ascii="Cambria" w:eastAsia="Times New Roman" w:hAnsi="Cambria" w:cs="Times New Roman"/>
                <w:b/>
                <w:bCs/>
                <w:color w:val="000000"/>
                <w:kern w:val="0"/>
                <w:sz w:val="20"/>
                <w:szCs w:val="20"/>
                <w14:ligatures w14:val="none"/>
              </w:rPr>
            </w:pPr>
          </w:p>
        </w:tc>
        <w:tc>
          <w:tcPr>
            <w:tcW w:w="1890" w:type="dxa"/>
            <w:tcBorders>
              <w:top w:val="nil"/>
              <w:left w:val="nil"/>
              <w:bottom w:val="single" w:sz="4" w:space="0" w:color="A5A5A5"/>
              <w:right w:val="single" w:sz="4" w:space="0" w:color="A5A5A5"/>
            </w:tcBorders>
            <w:shd w:val="clear" w:color="auto" w:fill="auto"/>
            <w:noWrap/>
            <w:hideMark/>
          </w:tcPr>
          <w:p w14:paraId="22F2CB9A"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Southwest</w:t>
            </w:r>
          </w:p>
        </w:tc>
        <w:tc>
          <w:tcPr>
            <w:tcW w:w="1980" w:type="dxa"/>
            <w:tcBorders>
              <w:top w:val="nil"/>
              <w:left w:val="nil"/>
              <w:bottom w:val="single" w:sz="4" w:space="0" w:color="A5A5A5"/>
              <w:right w:val="single" w:sz="4" w:space="0" w:color="A5A5A5"/>
            </w:tcBorders>
            <w:shd w:val="clear" w:color="auto" w:fill="auto"/>
            <w:noWrap/>
            <w:hideMark/>
          </w:tcPr>
          <w:p w14:paraId="5779A943"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Risk of Famine</w:t>
            </w:r>
          </w:p>
        </w:tc>
        <w:tc>
          <w:tcPr>
            <w:tcW w:w="1170" w:type="dxa"/>
            <w:tcBorders>
              <w:top w:val="nil"/>
              <w:left w:val="nil"/>
              <w:bottom w:val="single" w:sz="4" w:space="0" w:color="A5A5A5"/>
              <w:right w:val="single" w:sz="4" w:space="0" w:color="A5A5A5"/>
            </w:tcBorders>
            <w:shd w:val="clear" w:color="auto" w:fill="auto"/>
            <w:noWrap/>
            <w:hideMark/>
          </w:tcPr>
          <w:p w14:paraId="715F52C4"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1,523,500</w:t>
            </w:r>
          </w:p>
        </w:tc>
        <w:tc>
          <w:tcPr>
            <w:tcW w:w="990" w:type="dxa"/>
            <w:tcBorders>
              <w:top w:val="nil"/>
              <w:left w:val="nil"/>
              <w:bottom w:val="single" w:sz="4" w:space="0" w:color="A5A5A5"/>
              <w:right w:val="single" w:sz="4" w:space="0" w:color="A5A5A5"/>
            </w:tcBorders>
            <w:shd w:val="clear" w:color="auto" w:fill="auto"/>
            <w:noWrap/>
            <w:hideMark/>
          </w:tcPr>
          <w:p w14:paraId="70F72AD4"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9%</w:t>
            </w:r>
          </w:p>
        </w:tc>
        <w:tc>
          <w:tcPr>
            <w:tcW w:w="1080" w:type="dxa"/>
            <w:tcBorders>
              <w:top w:val="nil"/>
              <w:left w:val="nil"/>
              <w:bottom w:val="single" w:sz="4" w:space="0" w:color="A5A5A5"/>
              <w:right w:val="single" w:sz="4" w:space="0" w:color="A5A5A5"/>
            </w:tcBorders>
            <w:shd w:val="clear" w:color="auto" w:fill="auto"/>
            <w:noWrap/>
            <w:hideMark/>
          </w:tcPr>
          <w:p w14:paraId="5532E9FF"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214,000</w:t>
            </w:r>
          </w:p>
        </w:tc>
        <w:tc>
          <w:tcPr>
            <w:tcW w:w="990" w:type="dxa"/>
            <w:tcBorders>
              <w:top w:val="nil"/>
              <w:left w:val="nil"/>
              <w:bottom w:val="single" w:sz="4" w:space="0" w:color="A5A5A5"/>
              <w:right w:val="single" w:sz="4" w:space="0" w:color="A5A5A5"/>
            </w:tcBorders>
            <w:shd w:val="clear" w:color="auto" w:fill="auto"/>
            <w:noWrap/>
            <w:hideMark/>
          </w:tcPr>
          <w:p w14:paraId="1D47B388"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w:t>
            </w:r>
          </w:p>
        </w:tc>
        <w:tc>
          <w:tcPr>
            <w:tcW w:w="1530" w:type="dxa"/>
            <w:tcBorders>
              <w:top w:val="nil"/>
              <w:left w:val="nil"/>
              <w:bottom w:val="single" w:sz="4" w:space="0" w:color="A5A5A5"/>
              <w:right w:val="single" w:sz="4" w:space="0" w:color="A5A5A5"/>
            </w:tcBorders>
            <w:shd w:val="clear" w:color="auto" w:fill="auto"/>
            <w:noWrap/>
            <w:hideMark/>
          </w:tcPr>
          <w:p w14:paraId="7330A54E" w14:textId="77777777" w:rsid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43,000</w:t>
            </w:r>
          </w:p>
          <w:p w14:paraId="62BF1E5A" w14:textId="78DC2939" w:rsidR="005F7ACB" w:rsidRPr="005F7ACB" w:rsidRDefault="005F7ACB" w:rsidP="005668A6">
            <w:pPr>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(2022)</w:t>
            </w:r>
          </w:p>
        </w:tc>
      </w:tr>
      <w:tr w:rsidR="005F7ACB" w:rsidRPr="005F7ACB" w14:paraId="333ADE5A"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11CDADB5"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February 2016</w:t>
            </w:r>
          </w:p>
        </w:tc>
        <w:tc>
          <w:tcPr>
            <w:tcW w:w="1350" w:type="dxa"/>
            <w:vMerge w:val="restart"/>
            <w:tcBorders>
              <w:top w:val="nil"/>
              <w:left w:val="nil"/>
              <w:right w:val="single" w:sz="4" w:space="0" w:color="A5A5A5"/>
            </w:tcBorders>
            <w:shd w:val="clear" w:color="auto" w:fill="auto"/>
            <w:noWrap/>
            <w:hideMark/>
          </w:tcPr>
          <w:p w14:paraId="59D7FA6C" w14:textId="77777777" w:rsidR="005F7ACB" w:rsidRPr="00116652" w:rsidRDefault="005F7ACB" w:rsidP="005668A6">
            <w:pPr>
              <w:rPr>
                <w:rFonts w:ascii="Cambria" w:eastAsia="Times New Roman" w:hAnsi="Cambria" w:cs="Times New Roman"/>
                <w:b/>
                <w:bCs/>
                <w:color w:val="000000"/>
                <w:kern w:val="0"/>
                <w:sz w:val="20"/>
                <w:szCs w:val="20"/>
                <w14:ligatures w14:val="none"/>
              </w:rPr>
            </w:pPr>
          </w:p>
          <w:p w14:paraId="4C3BE9DA" w14:textId="77777777" w:rsidR="005F7ACB" w:rsidRPr="00116652" w:rsidRDefault="005F7ACB" w:rsidP="005668A6">
            <w:pPr>
              <w:rPr>
                <w:rFonts w:ascii="Cambria" w:eastAsia="Times New Roman" w:hAnsi="Cambria" w:cs="Times New Roman"/>
                <w:b/>
                <w:bCs/>
                <w:color w:val="000000"/>
                <w:kern w:val="0"/>
                <w:sz w:val="20"/>
                <w:szCs w:val="20"/>
                <w14:ligatures w14:val="none"/>
              </w:rPr>
            </w:pPr>
          </w:p>
          <w:p w14:paraId="2B66F5CB" w14:textId="77777777" w:rsidR="005F7ACB" w:rsidRPr="00116652" w:rsidRDefault="005F7ACB" w:rsidP="005668A6">
            <w:pPr>
              <w:rPr>
                <w:rFonts w:ascii="Cambria" w:eastAsia="Times New Roman" w:hAnsi="Cambria" w:cs="Times New Roman"/>
                <w:b/>
                <w:bCs/>
                <w:color w:val="000000"/>
                <w:kern w:val="0"/>
                <w:sz w:val="20"/>
                <w:szCs w:val="20"/>
                <w14:ligatures w14:val="none"/>
              </w:rPr>
            </w:pPr>
          </w:p>
          <w:p w14:paraId="466F2A12" w14:textId="77777777" w:rsidR="005F7ACB" w:rsidRPr="00116652" w:rsidRDefault="005F7ACB" w:rsidP="005668A6">
            <w:pPr>
              <w:rPr>
                <w:rFonts w:ascii="Cambria" w:eastAsia="Times New Roman" w:hAnsi="Cambria" w:cs="Times New Roman"/>
                <w:b/>
                <w:bCs/>
                <w:color w:val="000000"/>
                <w:kern w:val="0"/>
                <w:sz w:val="20"/>
                <w:szCs w:val="20"/>
                <w14:ligatures w14:val="none"/>
              </w:rPr>
            </w:pPr>
          </w:p>
          <w:p w14:paraId="1A8DC363" w14:textId="27F03D5F" w:rsidR="005F7ACB" w:rsidRPr="00116652" w:rsidRDefault="005F7ACB" w:rsidP="005668A6">
            <w:pPr>
              <w:rPr>
                <w:rFonts w:ascii="Cambria" w:eastAsia="Times New Roman" w:hAnsi="Cambria" w:cs="Times New Roman"/>
                <w:b/>
                <w:bCs/>
                <w:color w:val="000000"/>
                <w:kern w:val="0"/>
                <w:sz w:val="20"/>
                <w:szCs w:val="20"/>
                <w14:ligatures w14:val="none"/>
              </w:rPr>
            </w:pPr>
            <w:r w:rsidRPr="00116652">
              <w:rPr>
                <w:rFonts w:ascii="Cambria" w:eastAsia="Times New Roman" w:hAnsi="Cambria" w:cs="Times New Roman"/>
                <w:b/>
                <w:bCs/>
                <w:color w:val="000000"/>
                <w:kern w:val="0"/>
                <w:sz w:val="20"/>
                <w:szCs w:val="20"/>
                <w14:ligatures w14:val="none"/>
              </w:rPr>
              <w:t>South Sudan</w:t>
            </w:r>
          </w:p>
        </w:tc>
        <w:tc>
          <w:tcPr>
            <w:tcW w:w="1890" w:type="dxa"/>
            <w:tcBorders>
              <w:top w:val="nil"/>
              <w:left w:val="nil"/>
              <w:bottom w:val="single" w:sz="4" w:space="0" w:color="A5A5A5"/>
              <w:right w:val="single" w:sz="4" w:space="0" w:color="A5A5A5"/>
            </w:tcBorders>
            <w:shd w:val="clear" w:color="auto" w:fill="auto"/>
            <w:noWrap/>
            <w:hideMark/>
          </w:tcPr>
          <w:p w14:paraId="4B8D5D25"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Unity</w:t>
            </w:r>
          </w:p>
        </w:tc>
        <w:tc>
          <w:tcPr>
            <w:tcW w:w="1980" w:type="dxa"/>
            <w:tcBorders>
              <w:top w:val="nil"/>
              <w:left w:val="nil"/>
              <w:bottom w:val="single" w:sz="4" w:space="0" w:color="A5A5A5"/>
              <w:right w:val="single" w:sz="4" w:space="0" w:color="A5A5A5"/>
            </w:tcBorders>
            <w:shd w:val="clear" w:color="auto" w:fill="auto"/>
            <w:noWrap/>
            <w:hideMark/>
          </w:tcPr>
          <w:p w14:paraId="093B266B"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Risk of Famine</w:t>
            </w:r>
          </w:p>
        </w:tc>
        <w:tc>
          <w:tcPr>
            <w:tcW w:w="1170" w:type="dxa"/>
            <w:tcBorders>
              <w:top w:val="nil"/>
              <w:left w:val="nil"/>
              <w:bottom w:val="single" w:sz="4" w:space="0" w:color="A5A5A5"/>
              <w:right w:val="single" w:sz="4" w:space="0" w:color="A5A5A5"/>
            </w:tcBorders>
            <w:shd w:val="clear" w:color="auto" w:fill="auto"/>
            <w:noWrap/>
            <w:hideMark/>
          </w:tcPr>
          <w:p w14:paraId="3D3D7F68"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455,000</w:t>
            </w:r>
          </w:p>
        </w:tc>
        <w:tc>
          <w:tcPr>
            <w:tcW w:w="990" w:type="dxa"/>
            <w:tcBorders>
              <w:top w:val="nil"/>
              <w:left w:val="nil"/>
              <w:bottom w:val="single" w:sz="4" w:space="0" w:color="A5A5A5"/>
              <w:right w:val="single" w:sz="4" w:space="0" w:color="A5A5A5"/>
            </w:tcBorders>
            <w:shd w:val="clear" w:color="auto" w:fill="auto"/>
            <w:noWrap/>
            <w:hideMark/>
          </w:tcPr>
          <w:p w14:paraId="7B4D9CE2"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16%</w:t>
            </w:r>
          </w:p>
        </w:tc>
        <w:tc>
          <w:tcPr>
            <w:tcW w:w="1080" w:type="dxa"/>
            <w:tcBorders>
              <w:top w:val="nil"/>
              <w:left w:val="nil"/>
              <w:bottom w:val="single" w:sz="4" w:space="0" w:color="A5A5A5"/>
              <w:right w:val="single" w:sz="4" w:space="0" w:color="A5A5A5"/>
            </w:tcBorders>
            <w:shd w:val="clear" w:color="auto" w:fill="auto"/>
            <w:noWrap/>
            <w:hideMark/>
          </w:tcPr>
          <w:p w14:paraId="6B887DB7"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0</w:t>
            </w:r>
          </w:p>
        </w:tc>
        <w:tc>
          <w:tcPr>
            <w:tcW w:w="990" w:type="dxa"/>
            <w:tcBorders>
              <w:top w:val="nil"/>
              <w:left w:val="nil"/>
              <w:bottom w:val="single" w:sz="4" w:space="0" w:color="A5A5A5"/>
              <w:right w:val="single" w:sz="4" w:space="0" w:color="A5A5A5"/>
            </w:tcBorders>
            <w:shd w:val="clear" w:color="auto" w:fill="auto"/>
            <w:noWrap/>
            <w:hideMark/>
          </w:tcPr>
          <w:p w14:paraId="6E4BB9CF"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0%</w:t>
            </w:r>
          </w:p>
        </w:tc>
        <w:tc>
          <w:tcPr>
            <w:tcW w:w="1530" w:type="dxa"/>
            <w:vMerge w:val="restart"/>
            <w:tcBorders>
              <w:top w:val="nil"/>
              <w:left w:val="nil"/>
              <w:right w:val="single" w:sz="4" w:space="0" w:color="A5A5A5"/>
            </w:tcBorders>
            <w:shd w:val="clear" w:color="auto" w:fill="auto"/>
            <w:noWrap/>
            <w:hideMark/>
          </w:tcPr>
          <w:p w14:paraId="6DC95CD6" w14:textId="77777777" w:rsidR="005F7ACB" w:rsidRPr="005F7ACB" w:rsidRDefault="005F7ACB" w:rsidP="005668A6">
            <w:pPr>
              <w:rPr>
                <w:rFonts w:ascii="Cambria" w:eastAsia="Times New Roman" w:hAnsi="Cambria" w:cs="Times New Roman"/>
                <w:color w:val="000000"/>
                <w:kern w:val="0"/>
                <w:sz w:val="20"/>
                <w:szCs w:val="20"/>
                <w14:ligatures w14:val="none"/>
              </w:rPr>
            </w:pPr>
          </w:p>
          <w:p w14:paraId="2A74C62A" w14:textId="77777777" w:rsidR="005F7ACB" w:rsidRPr="005F7ACB" w:rsidRDefault="005F7ACB" w:rsidP="005668A6">
            <w:pPr>
              <w:rPr>
                <w:rFonts w:ascii="Cambria" w:eastAsia="Times New Roman" w:hAnsi="Cambria" w:cs="Times New Roman"/>
                <w:color w:val="000000"/>
                <w:kern w:val="0"/>
                <w:sz w:val="20"/>
                <w:szCs w:val="20"/>
                <w14:ligatures w14:val="none"/>
              </w:rPr>
            </w:pPr>
          </w:p>
          <w:p w14:paraId="0AEDFF76" w14:textId="77777777" w:rsidR="005F7ACB" w:rsidRPr="005F7ACB" w:rsidRDefault="005F7ACB" w:rsidP="005668A6">
            <w:pPr>
              <w:rPr>
                <w:rFonts w:ascii="Cambria" w:eastAsia="Times New Roman" w:hAnsi="Cambria" w:cs="Times New Roman"/>
                <w:color w:val="000000"/>
                <w:kern w:val="0"/>
                <w:sz w:val="20"/>
                <w:szCs w:val="20"/>
                <w14:ligatures w14:val="none"/>
              </w:rPr>
            </w:pPr>
          </w:p>
          <w:p w14:paraId="029EF4D8" w14:textId="77777777" w:rsidR="005F7ACB" w:rsidRPr="005F7ACB" w:rsidRDefault="005F7ACB" w:rsidP="005668A6">
            <w:pPr>
              <w:rPr>
                <w:rFonts w:ascii="Cambria" w:eastAsia="Times New Roman" w:hAnsi="Cambria" w:cs="Times New Roman"/>
                <w:color w:val="000000"/>
                <w:kern w:val="0"/>
                <w:sz w:val="20"/>
                <w:szCs w:val="20"/>
                <w14:ligatures w14:val="none"/>
              </w:rPr>
            </w:pPr>
          </w:p>
          <w:p w14:paraId="1F3CC2DC" w14:textId="676E0411" w:rsid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193,000</w:t>
            </w:r>
          </w:p>
          <w:p w14:paraId="2C047F5B" w14:textId="23B445B8" w:rsidR="005F7ACB" w:rsidRPr="005F7ACB" w:rsidRDefault="005F7ACB" w:rsidP="005668A6">
            <w:pPr>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(2014-18)</w:t>
            </w:r>
          </w:p>
          <w:p w14:paraId="6A241C6E" w14:textId="20B907B6" w:rsidR="005F7ACB" w:rsidRPr="005F7ACB" w:rsidRDefault="005F7ACB" w:rsidP="005668A6">
            <w:pPr>
              <w:rPr>
                <w:rFonts w:ascii="Cambria" w:eastAsia="Times New Roman" w:hAnsi="Cambria" w:cs="Times New Roman"/>
                <w:color w:val="000000"/>
                <w:kern w:val="0"/>
                <w:sz w:val="20"/>
                <w:szCs w:val="20"/>
                <w14:ligatures w14:val="none"/>
              </w:rPr>
            </w:pPr>
          </w:p>
        </w:tc>
      </w:tr>
      <w:tr w:rsidR="005F7ACB" w:rsidRPr="005F7ACB" w14:paraId="708D76FA"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7470F065"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May 2016</w:t>
            </w:r>
          </w:p>
        </w:tc>
        <w:tc>
          <w:tcPr>
            <w:tcW w:w="1350" w:type="dxa"/>
            <w:vMerge/>
            <w:tcBorders>
              <w:left w:val="nil"/>
              <w:right w:val="single" w:sz="4" w:space="0" w:color="A5A5A5"/>
            </w:tcBorders>
            <w:shd w:val="clear" w:color="auto" w:fill="auto"/>
            <w:noWrap/>
            <w:hideMark/>
          </w:tcPr>
          <w:p w14:paraId="2BC33A65" w14:textId="57DD3D33" w:rsidR="005F7ACB" w:rsidRPr="00116652" w:rsidRDefault="005F7ACB" w:rsidP="005668A6">
            <w:pPr>
              <w:rPr>
                <w:rFonts w:ascii="Cambria" w:eastAsia="Times New Roman" w:hAnsi="Cambria" w:cs="Times New Roman"/>
                <w:b/>
                <w:bCs/>
                <w:color w:val="000000"/>
                <w:kern w:val="0"/>
                <w:sz w:val="20"/>
                <w:szCs w:val="20"/>
                <w14:ligatures w14:val="none"/>
              </w:rPr>
            </w:pPr>
          </w:p>
        </w:tc>
        <w:tc>
          <w:tcPr>
            <w:tcW w:w="1890" w:type="dxa"/>
            <w:tcBorders>
              <w:top w:val="nil"/>
              <w:left w:val="nil"/>
              <w:bottom w:val="single" w:sz="4" w:space="0" w:color="A5A5A5"/>
              <w:right w:val="single" w:sz="4" w:space="0" w:color="A5A5A5"/>
            </w:tcBorders>
            <w:shd w:val="clear" w:color="auto" w:fill="auto"/>
            <w:noWrap/>
            <w:hideMark/>
          </w:tcPr>
          <w:p w14:paraId="7BA3F726"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Unity</w:t>
            </w:r>
          </w:p>
        </w:tc>
        <w:tc>
          <w:tcPr>
            <w:tcW w:w="1980" w:type="dxa"/>
            <w:tcBorders>
              <w:top w:val="nil"/>
              <w:left w:val="nil"/>
              <w:bottom w:val="single" w:sz="4" w:space="0" w:color="A5A5A5"/>
              <w:right w:val="single" w:sz="4" w:space="0" w:color="A5A5A5"/>
            </w:tcBorders>
            <w:shd w:val="clear" w:color="auto" w:fill="auto"/>
            <w:noWrap/>
            <w:hideMark/>
          </w:tcPr>
          <w:p w14:paraId="5C4D716D"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Population in P5</w:t>
            </w:r>
          </w:p>
        </w:tc>
        <w:tc>
          <w:tcPr>
            <w:tcW w:w="1170" w:type="dxa"/>
            <w:tcBorders>
              <w:top w:val="nil"/>
              <w:left w:val="nil"/>
              <w:bottom w:val="single" w:sz="4" w:space="0" w:color="A5A5A5"/>
              <w:right w:val="single" w:sz="4" w:space="0" w:color="A5A5A5"/>
            </w:tcBorders>
            <w:shd w:val="clear" w:color="auto" w:fill="auto"/>
            <w:noWrap/>
            <w:hideMark/>
          </w:tcPr>
          <w:p w14:paraId="22054FC5"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1,100,000</w:t>
            </w:r>
          </w:p>
        </w:tc>
        <w:tc>
          <w:tcPr>
            <w:tcW w:w="990" w:type="dxa"/>
            <w:tcBorders>
              <w:top w:val="nil"/>
              <w:left w:val="nil"/>
              <w:bottom w:val="single" w:sz="4" w:space="0" w:color="A5A5A5"/>
              <w:right w:val="single" w:sz="4" w:space="0" w:color="A5A5A5"/>
            </w:tcBorders>
            <w:shd w:val="clear" w:color="auto" w:fill="auto"/>
            <w:noWrap/>
            <w:hideMark/>
          </w:tcPr>
          <w:p w14:paraId="40D204FE"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9%</w:t>
            </w:r>
          </w:p>
        </w:tc>
        <w:tc>
          <w:tcPr>
            <w:tcW w:w="1080" w:type="dxa"/>
            <w:tcBorders>
              <w:top w:val="nil"/>
              <w:left w:val="nil"/>
              <w:bottom w:val="single" w:sz="4" w:space="0" w:color="A5A5A5"/>
              <w:right w:val="single" w:sz="4" w:space="0" w:color="A5A5A5"/>
            </w:tcBorders>
            <w:shd w:val="clear" w:color="auto" w:fill="auto"/>
            <w:noWrap/>
            <w:hideMark/>
          </w:tcPr>
          <w:p w14:paraId="5416689A"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0</w:t>
            </w:r>
          </w:p>
        </w:tc>
        <w:tc>
          <w:tcPr>
            <w:tcW w:w="990" w:type="dxa"/>
            <w:tcBorders>
              <w:top w:val="nil"/>
              <w:left w:val="nil"/>
              <w:bottom w:val="single" w:sz="4" w:space="0" w:color="A5A5A5"/>
              <w:right w:val="single" w:sz="4" w:space="0" w:color="A5A5A5"/>
            </w:tcBorders>
            <w:shd w:val="clear" w:color="auto" w:fill="auto"/>
            <w:noWrap/>
            <w:hideMark/>
          </w:tcPr>
          <w:p w14:paraId="7AB7BE19"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0%</w:t>
            </w:r>
          </w:p>
        </w:tc>
        <w:tc>
          <w:tcPr>
            <w:tcW w:w="1530" w:type="dxa"/>
            <w:vMerge/>
            <w:tcBorders>
              <w:left w:val="nil"/>
              <w:right w:val="single" w:sz="4" w:space="0" w:color="A5A5A5"/>
            </w:tcBorders>
            <w:shd w:val="clear" w:color="auto" w:fill="auto"/>
            <w:noWrap/>
            <w:hideMark/>
          </w:tcPr>
          <w:p w14:paraId="7604C355" w14:textId="1DAA098A" w:rsidR="005F7ACB" w:rsidRPr="005F7ACB" w:rsidRDefault="005F7ACB" w:rsidP="005668A6">
            <w:pPr>
              <w:rPr>
                <w:rFonts w:ascii="Cambria" w:eastAsia="Times New Roman" w:hAnsi="Cambria" w:cs="Times New Roman"/>
                <w:color w:val="000000"/>
                <w:kern w:val="0"/>
                <w:sz w:val="20"/>
                <w:szCs w:val="20"/>
                <w14:ligatures w14:val="none"/>
              </w:rPr>
            </w:pPr>
          </w:p>
        </w:tc>
      </w:tr>
      <w:tr w:rsidR="005F7ACB" w:rsidRPr="005F7ACB" w14:paraId="22D331C8"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7E1A4283"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February-May 2017</w:t>
            </w:r>
          </w:p>
        </w:tc>
        <w:tc>
          <w:tcPr>
            <w:tcW w:w="1350" w:type="dxa"/>
            <w:vMerge/>
            <w:tcBorders>
              <w:left w:val="nil"/>
              <w:right w:val="single" w:sz="4" w:space="0" w:color="A5A5A5"/>
            </w:tcBorders>
            <w:shd w:val="clear" w:color="auto" w:fill="auto"/>
            <w:noWrap/>
            <w:hideMark/>
          </w:tcPr>
          <w:p w14:paraId="507698CB" w14:textId="7F0C77C1" w:rsidR="005F7ACB" w:rsidRPr="00116652" w:rsidRDefault="005F7ACB" w:rsidP="005668A6">
            <w:pPr>
              <w:rPr>
                <w:rFonts w:ascii="Cambria" w:eastAsia="Times New Roman" w:hAnsi="Cambria" w:cs="Times New Roman"/>
                <w:b/>
                <w:bCs/>
                <w:color w:val="000000"/>
                <w:kern w:val="0"/>
                <w:sz w:val="20"/>
                <w:szCs w:val="20"/>
                <w14:ligatures w14:val="none"/>
              </w:rPr>
            </w:pPr>
          </w:p>
        </w:tc>
        <w:tc>
          <w:tcPr>
            <w:tcW w:w="1890" w:type="dxa"/>
            <w:tcBorders>
              <w:top w:val="nil"/>
              <w:left w:val="nil"/>
              <w:bottom w:val="single" w:sz="4" w:space="0" w:color="A5A5A5"/>
              <w:right w:val="single" w:sz="4" w:space="0" w:color="A5A5A5"/>
            </w:tcBorders>
            <w:shd w:val="clear" w:color="auto" w:fill="auto"/>
            <w:noWrap/>
            <w:hideMark/>
          </w:tcPr>
          <w:p w14:paraId="70D091AA"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Central Unity (Leer and Mayendit)</w:t>
            </w:r>
          </w:p>
        </w:tc>
        <w:tc>
          <w:tcPr>
            <w:tcW w:w="1980" w:type="dxa"/>
            <w:tcBorders>
              <w:top w:val="nil"/>
              <w:left w:val="nil"/>
              <w:bottom w:val="single" w:sz="4" w:space="0" w:color="A5A5A5"/>
              <w:right w:val="single" w:sz="4" w:space="0" w:color="A5A5A5"/>
            </w:tcBorders>
            <w:shd w:val="clear" w:color="auto" w:fill="auto"/>
            <w:noWrap/>
            <w:hideMark/>
          </w:tcPr>
          <w:p w14:paraId="0C711282" w14:textId="77777777" w:rsidR="005F7ACB" w:rsidRPr="00B2074E" w:rsidRDefault="005F7ACB" w:rsidP="005668A6">
            <w:pPr>
              <w:rPr>
                <w:rFonts w:ascii="Cambria" w:eastAsia="Times New Roman" w:hAnsi="Cambria" w:cs="Times New Roman"/>
                <w:b/>
                <w:bCs/>
                <w:color w:val="000000"/>
                <w:kern w:val="0"/>
                <w:sz w:val="20"/>
                <w:szCs w:val="20"/>
                <w14:ligatures w14:val="none"/>
              </w:rPr>
            </w:pPr>
            <w:r w:rsidRPr="00B2074E">
              <w:rPr>
                <w:rFonts w:ascii="Cambria" w:eastAsia="Times New Roman" w:hAnsi="Cambria" w:cs="Times New Roman"/>
                <w:b/>
                <w:bCs/>
                <w:color w:val="000000"/>
                <w:kern w:val="0"/>
                <w:sz w:val="20"/>
                <w:szCs w:val="20"/>
                <w14:ligatures w14:val="none"/>
              </w:rPr>
              <w:t>Famine</w:t>
            </w:r>
          </w:p>
        </w:tc>
        <w:tc>
          <w:tcPr>
            <w:tcW w:w="1170" w:type="dxa"/>
            <w:tcBorders>
              <w:top w:val="nil"/>
              <w:left w:val="nil"/>
              <w:bottom w:val="single" w:sz="4" w:space="0" w:color="A5A5A5"/>
              <w:right w:val="single" w:sz="4" w:space="0" w:color="A5A5A5"/>
            </w:tcBorders>
            <w:shd w:val="clear" w:color="auto" w:fill="auto"/>
            <w:noWrap/>
            <w:hideMark/>
          </w:tcPr>
          <w:p w14:paraId="68DFC058"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700,000</w:t>
            </w:r>
          </w:p>
        </w:tc>
        <w:tc>
          <w:tcPr>
            <w:tcW w:w="990" w:type="dxa"/>
            <w:tcBorders>
              <w:top w:val="nil"/>
              <w:left w:val="nil"/>
              <w:bottom w:val="single" w:sz="4" w:space="0" w:color="A5A5A5"/>
              <w:right w:val="single" w:sz="4" w:space="0" w:color="A5A5A5"/>
            </w:tcBorders>
            <w:shd w:val="clear" w:color="auto" w:fill="auto"/>
            <w:noWrap/>
            <w:hideMark/>
          </w:tcPr>
          <w:p w14:paraId="6AE2D5DE"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6%</w:t>
            </w:r>
          </w:p>
        </w:tc>
        <w:tc>
          <w:tcPr>
            <w:tcW w:w="1080" w:type="dxa"/>
            <w:tcBorders>
              <w:top w:val="nil"/>
              <w:left w:val="nil"/>
              <w:bottom w:val="single" w:sz="4" w:space="0" w:color="A5A5A5"/>
              <w:right w:val="single" w:sz="4" w:space="0" w:color="A5A5A5"/>
            </w:tcBorders>
            <w:shd w:val="clear" w:color="auto" w:fill="auto"/>
            <w:noWrap/>
            <w:hideMark/>
          </w:tcPr>
          <w:p w14:paraId="1B33A70D"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80,000</w:t>
            </w:r>
          </w:p>
        </w:tc>
        <w:tc>
          <w:tcPr>
            <w:tcW w:w="990" w:type="dxa"/>
            <w:tcBorders>
              <w:top w:val="nil"/>
              <w:left w:val="nil"/>
              <w:bottom w:val="single" w:sz="4" w:space="0" w:color="A5A5A5"/>
              <w:right w:val="single" w:sz="4" w:space="0" w:color="A5A5A5"/>
            </w:tcBorders>
            <w:shd w:val="clear" w:color="auto" w:fill="auto"/>
            <w:noWrap/>
            <w:hideMark/>
          </w:tcPr>
          <w:p w14:paraId="279C6BE0"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w:t>
            </w:r>
          </w:p>
        </w:tc>
        <w:tc>
          <w:tcPr>
            <w:tcW w:w="1530" w:type="dxa"/>
            <w:vMerge/>
            <w:tcBorders>
              <w:left w:val="nil"/>
              <w:right w:val="single" w:sz="4" w:space="0" w:color="A5A5A5"/>
            </w:tcBorders>
            <w:shd w:val="clear" w:color="auto" w:fill="auto"/>
            <w:noWrap/>
            <w:hideMark/>
          </w:tcPr>
          <w:p w14:paraId="36E33529" w14:textId="3B73D093" w:rsidR="005F7ACB" w:rsidRPr="005F7ACB" w:rsidRDefault="005F7ACB" w:rsidP="005668A6">
            <w:pPr>
              <w:rPr>
                <w:rFonts w:ascii="Cambria" w:eastAsia="Times New Roman" w:hAnsi="Cambria" w:cs="Times New Roman"/>
                <w:color w:val="000000"/>
                <w:kern w:val="0"/>
                <w:sz w:val="20"/>
                <w:szCs w:val="20"/>
                <w14:ligatures w14:val="none"/>
              </w:rPr>
            </w:pPr>
          </w:p>
        </w:tc>
      </w:tr>
      <w:tr w:rsidR="005F7ACB" w:rsidRPr="005F7ACB" w14:paraId="1B192DB0"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1B299DB3"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May 2017</w:t>
            </w:r>
          </w:p>
        </w:tc>
        <w:tc>
          <w:tcPr>
            <w:tcW w:w="1350" w:type="dxa"/>
            <w:vMerge/>
            <w:tcBorders>
              <w:left w:val="nil"/>
              <w:right w:val="single" w:sz="4" w:space="0" w:color="A5A5A5"/>
            </w:tcBorders>
            <w:shd w:val="clear" w:color="auto" w:fill="auto"/>
            <w:noWrap/>
            <w:hideMark/>
          </w:tcPr>
          <w:p w14:paraId="26939FEA" w14:textId="37416A59" w:rsidR="005F7ACB" w:rsidRPr="00116652" w:rsidRDefault="005F7ACB" w:rsidP="005668A6">
            <w:pPr>
              <w:rPr>
                <w:rFonts w:ascii="Cambria" w:eastAsia="Times New Roman" w:hAnsi="Cambria" w:cs="Times New Roman"/>
                <w:b/>
                <w:bCs/>
                <w:color w:val="000000"/>
                <w:kern w:val="0"/>
                <w:sz w:val="20"/>
                <w:szCs w:val="20"/>
                <w14:ligatures w14:val="none"/>
              </w:rPr>
            </w:pPr>
          </w:p>
        </w:tc>
        <w:tc>
          <w:tcPr>
            <w:tcW w:w="1890" w:type="dxa"/>
            <w:tcBorders>
              <w:top w:val="nil"/>
              <w:left w:val="nil"/>
              <w:bottom w:val="single" w:sz="4" w:space="0" w:color="A5A5A5"/>
              <w:right w:val="single" w:sz="4" w:space="0" w:color="A5A5A5"/>
            </w:tcBorders>
            <w:shd w:val="clear" w:color="auto" w:fill="auto"/>
            <w:noWrap/>
            <w:hideMark/>
          </w:tcPr>
          <w:p w14:paraId="086A9D37"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Ayod</w:t>
            </w:r>
          </w:p>
        </w:tc>
        <w:tc>
          <w:tcPr>
            <w:tcW w:w="1980" w:type="dxa"/>
            <w:tcBorders>
              <w:top w:val="nil"/>
              <w:left w:val="nil"/>
              <w:bottom w:val="single" w:sz="4" w:space="0" w:color="A5A5A5"/>
              <w:right w:val="single" w:sz="4" w:space="0" w:color="A5A5A5"/>
            </w:tcBorders>
            <w:shd w:val="clear" w:color="auto" w:fill="auto"/>
            <w:noWrap/>
            <w:hideMark/>
          </w:tcPr>
          <w:p w14:paraId="7D1E0C36"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 xml:space="preserve">Risk of Famine </w:t>
            </w:r>
          </w:p>
        </w:tc>
        <w:tc>
          <w:tcPr>
            <w:tcW w:w="1170" w:type="dxa"/>
            <w:tcBorders>
              <w:top w:val="nil"/>
              <w:left w:val="nil"/>
              <w:bottom w:val="single" w:sz="4" w:space="0" w:color="A5A5A5"/>
              <w:right w:val="single" w:sz="4" w:space="0" w:color="A5A5A5"/>
            </w:tcBorders>
            <w:shd w:val="clear" w:color="auto" w:fill="auto"/>
            <w:noWrap/>
            <w:hideMark/>
          </w:tcPr>
          <w:p w14:paraId="04C76D88"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1,495,000</w:t>
            </w:r>
          </w:p>
        </w:tc>
        <w:tc>
          <w:tcPr>
            <w:tcW w:w="990" w:type="dxa"/>
            <w:tcBorders>
              <w:top w:val="nil"/>
              <w:left w:val="nil"/>
              <w:bottom w:val="single" w:sz="4" w:space="0" w:color="A5A5A5"/>
              <w:right w:val="single" w:sz="4" w:space="0" w:color="A5A5A5"/>
            </w:tcBorders>
            <w:shd w:val="clear" w:color="auto" w:fill="auto"/>
            <w:noWrap/>
            <w:hideMark/>
          </w:tcPr>
          <w:p w14:paraId="71C19BE6"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12%</w:t>
            </w:r>
          </w:p>
        </w:tc>
        <w:tc>
          <w:tcPr>
            <w:tcW w:w="1080" w:type="dxa"/>
            <w:tcBorders>
              <w:top w:val="nil"/>
              <w:left w:val="nil"/>
              <w:bottom w:val="single" w:sz="4" w:space="0" w:color="A5A5A5"/>
              <w:right w:val="single" w:sz="4" w:space="0" w:color="A5A5A5"/>
            </w:tcBorders>
            <w:shd w:val="clear" w:color="auto" w:fill="auto"/>
            <w:noWrap/>
            <w:hideMark/>
          </w:tcPr>
          <w:p w14:paraId="2B86A7D0"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20,000</w:t>
            </w:r>
          </w:p>
        </w:tc>
        <w:tc>
          <w:tcPr>
            <w:tcW w:w="990" w:type="dxa"/>
            <w:tcBorders>
              <w:top w:val="nil"/>
              <w:left w:val="nil"/>
              <w:bottom w:val="single" w:sz="4" w:space="0" w:color="A5A5A5"/>
              <w:right w:val="single" w:sz="4" w:space="0" w:color="A5A5A5"/>
            </w:tcBorders>
            <w:shd w:val="clear" w:color="auto" w:fill="auto"/>
            <w:noWrap/>
            <w:hideMark/>
          </w:tcPr>
          <w:p w14:paraId="67E0A78F" w14:textId="77777777" w:rsidR="005F7ACB" w:rsidRPr="005F7ACB" w:rsidRDefault="005F7ACB" w:rsidP="005F7ACB">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&lt;1%</w:t>
            </w:r>
          </w:p>
        </w:tc>
        <w:tc>
          <w:tcPr>
            <w:tcW w:w="1530" w:type="dxa"/>
            <w:vMerge/>
            <w:tcBorders>
              <w:left w:val="nil"/>
              <w:right w:val="single" w:sz="4" w:space="0" w:color="A5A5A5"/>
            </w:tcBorders>
            <w:shd w:val="clear" w:color="auto" w:fill="auto"/>
            <w:noWrap/>
            <w:hideMark/>
          </w:tcPr>
          <w:p w14:paraId="3089005A" w14:textId="090C15F4" w:rsidR="005F7ACB" w:rsidRPr="005F7ACB" w:rsidRDefault="005F7ACB" w:rsidP="005668A6">
            <w:pPr>
              <w:rPr>
                <w:rFonts w:ascii="Cambria" w:eastAsia="Times New Roman" w:hAnsi="Cambria" w:cs="Times New Roman"/>
                <w:color w:val="000000"/>
                <w:kern w:val="0"/>
                <w:sz w:val="20"/>
                <w:szCs w:val="20"/>
                <w14:ligatures w14:val="none"/>
              </w:rPr>
            </w:pPr>
          </w:p>
        </w:tc>
      </w:tr>
      <w:tr w:rsidR="005F7ACB" w:rsidRPr="005F7ACB" w14:paraId="55EF1FC6"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2FFA7E3F"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December 2017</w:t>
            </w:r>
          </w:p>
        </w:tc>
        <w:tc>
          <w:tcPr>
            <w:tcW w:w="1350" w:type="dxa"/>
            <w:vMerge/>
            <w:tcBorders>
              <w:left w:val="nil"/>
              <w:right w:val="single" w:sz="4" w:space="0" w:color="A5A5A5"/>
            </w:tcBorders>
            <w:shd w:val="clear" w:color="auto" w:fill="auto"/>
            <w:noWrap/>
            <w:hideMark/>
          </w:tcPr>
          <w:p w14:paraId="37CA1167" w14:textId="1427907E" w:rsidR="005F7ACB" w:rsidRPr="00116652" w:rsidRDefault="005F7ACB" w:rsidP="005668A6">
            <w:pPr>
              <w:rPr>
                <w:rFonts w:ascii="Cambria" w:eastAsia="Times New Roman" w:hAnsi="Cambria" w:cs="Times New Roman"/>
                <w:b/>
                <w:bCs/>
                <w:color w:val="000000"/>
                <w:kern w:val="0"/>
                <w:sz w:val="20"/>
                <w:szCs w:val="20"/>
                <w14:ligatures w14:val="none"/>
              </w:rPr>
            </w:pPr>
          </w:p>
        </w:tc>
        <w:tc>
          <w:tcPr>
            <w:tcW w:w="1890" w:type="dxa"/>
            <w:tcBorders>
              <w:top w:val="nil"/>
              <w:left w:val="nil"/>
              <w:bottom w:val="single" w:sz="4" w:space="0" w:color="A5A5A5"/>
              <w:right w:val="single" w:sz="4" w:space="0" w:color="A5A5A5"/>
            </w:tcBorders>
            <w:shd w:val="clear" w:color="auto" w:fill="auto"/>
            <w:noWrap/>
            <w:hideMark/>
          </w:tcPr>
          <w:p w14:paraId="5E0A6014"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Greater Baggari</w:t>
            </w:r>
          </w:p>
        </w:tc>
        <w:tc>
          <w:tcPr>
            <w:tcW w:w="1980" w:type="dxa"/>
            <w:tcBorders>
              <w:top w:val="nil"/>
              <w:left w:val="nil"/>
              <w:bottom w:val="single" w:sz="4" w:space="0" w:color="A5A5A5"/>
              <w:right w:val="single" w:sz="4" w:space="0" w:color="A5A5A5"/>
            </w:tcBorders>
            <w:shd w:val="clear" w:color="auto" w:fill="auto"/>
            <w:noWrap/>
            <w:hideMark/>
          </w:tcPr>
          <w:p w14:paraId="4F14B9EE"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 xml:space="preserve">Projection </w:t>
            </w:r>
          </w:p>
        </w:tc>
        <w:tc>
          <w:tcPr>
            <w:tcW w:w="1170" w:type="dxa"/>
            <w:tcBorders>
              <w:top w:val="nil"/>
              <w:left w:val="nil"/>
              <w:bottom w:val="single" w:sz="4" w:space="0" w:color="A5A5A5"/>
              <w:right w:val="single" w:sz="4" w:space="0" w:color="A5A5A5"/>
            </w:tcBorders>
            <w:shd w:val="clear" w:color="auto" w:fill="auto"/>
            <w:noWrap/>
            <w:hideMark/>
          </w:tcPr>
          <w:p w14:paraId="692DB10E"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1,520,000</w:t>
            </w:r>
          </w:p>
        </w:tc>
        <w:tc>
          <w:tcPr>
            <w:tcW w:w="990" w:type="dxa"/>
            <w:tcBorders>
              <w:top w:val="nil"/>
              <w:left w:val="nil"/>
              <w:bottom w:val="single" w:sz="4" w:space="0" w:color="A5A5A5"/>
              <w:right w:val="single" w:sz="4" w:space="0" w:color="A5A5A5"/>
            </w:tcBorders>
            <w:shd w:val="clear" w:color="auto" w:fill="auto"/>
            <w:noWrap/>
            <w:hideMark/>
          </w:tcPr>
          <w:p w14:paraId="18EE5EE0"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14%</w:t>
            </w:r>
          </w:p>
        </w:tc>
        <w:tc>
          <w:tcPr>
            <w:tcW w:w="1080" w:type="dxa"/>
            <w:tcBorders>
              <w:top w:val="nil"/>
              <w:left w:val="nil"/>
              <w:bottom w:val="single" w:sz="4" w:space="0" w:color="A5A5A5"/>
              <w:right w:val="single" w:sz="4" w:space="0" w:color="A5A5A5"/>
            </w:tcBorders>
            <w:shd w:val="clear" w:color="auto" w:fill="auto"/>
            <w:noWrap/>
            <w:hideMark/>
          </w:tcPr>
          <w:p w14:paraId="0BBA635D"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20,000</w:t>
            </w:r>
          </w:p>
        </w:tc>
        <w:tc>
          <w:tcPr>
            <w:tcW w:w="990" w:type="dxa"/>
            <w:tcBorders>
              <w:top w:val="nil"/>
              <w:left w:val="nil"/>
              <w:bottom w:val="single" w:sz="4" w:space="0" w:color="A5A5A5"/>
              <w:right w:val="single" w:sz="4" w:space="0" w:color="A5A5A5"/>
            </w:tcBorders>
            <w:shd w:val="clear" w:color="auto" w:fill="auto"/>
            <w:noWrap/>
            <w:hideMark/>
          </w:tcPr>
          <w:p w14:paraId="08828BCE" w14:textId="77777777" w:rsidR="005F7ACB" w:rsidRPr="005F7ACB" w:rsidRDefault="005F7ACB" w:rsidP="005F7ACB">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&lt;1%</w:t>
            </w:r>
          </w:p>
        </w:tc>
        <w:tc>
          <w:tcPr>
            <w:tcW w:w="1530" w:type="dxa"/>
            <w:vMerge/>
            <w:tcBorders>
              <w:left w:val="nil"/>
              <w:bottom w:val="single" w:sz="4" w:space="0" w:color="A5A5A5"/>
              <w:right w:val="single" w:sz="4" w:space="0" w:color="A5A5A5"/>
            </w:tcBorders>
            <w:shd w:val="clear" w:color="auto" w:fill="auto"/>
            <w:noWrap/>
            <w:hideMark/>
          </w:tcPr>
          <w:p w14:paraId="133A06FA" w14:textId="17D846D2" w:rsidR="005F7ACB" w:rsidRPr="005F7ACB" w:rsidRDefault="005F7ACB" w:rsidP="005668A6">
            <w:pPr>
              <w:rPr>
                <w:rFonts w:ascii="Cambria" w:eastAsia="Times New Roman" w:hAnsi="Cambria" w:cs="Times New Roman"/>
                <w:color w:val="000000"/>
                <w:kern w:val="0"/>
                <w:sz w:val="20"/>
                <w:szCs w:val="20"/>
                <w14:ligatures w14:val="none"/>
              </w:rPr>
            </w:pPr>
          </w:p>
        </w:tc>
      </w:tr>
      <w:tr w:rsidR="005F7ACB" w:rsidRPr="005F7ACB" w14:paraId="4DD9DEBC"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51A2D62E"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December 2020</w:t>
            </w:r>
          </w:p>
        </w:tc>
        <w:tc>
          <w:tcPr>
            <w:tcW w:w="1350" w:type="dxa"/>
            <w:vMerge/>
            <w:tcBorders>
              <w:left w:val="nil"/>
              <w:bottom w:val="single" w:sz="4" w:space="0" w:color="A5A5A5"/>
              <w:right w:val="single" w:sz="4" w:space="0" w:color="A5A5A5"/>
            </w:tcBorders>
            <w:shd w:val="clear" w:color="auto" w:fill="auto"/>
            <w:noWrap/>
            <w:hideMark/>
          </w:tcPr>
          <w:p w14:paraId="6EFF8816" w14:textId="46DF1B8F" w:rsidR="005F7ACB" w:rsidRPr="00116652" w:rsidRDefault="005F7ACB" w:rsidP="005668A6">
            <w:pPr>
              <w:rPr>
                <w:rFonts w:ascii="Cambria" w:eastAsia="Times New Roman" w:hAnsi="Cambria" w:cs="Times New Roman"/>
                <w:b/>
                <w:bCs/>
                <w:color w:val="000000"/>
                <w:kern w:val="0"/>
                <w:sz w:val="20"/>
                <w:szCs w:val="20"/>
                <w14:ligatures w14:val="none"/>
              </w:rPr>
            </w:pPr>
          </w:p>
        </w:tc>
        <w:tc>
          <w:tcPr>
            <w:tcW w:w="1890" w:type="dxa"/>
            <w:tcBorders>
              <w:top w:val="nil"/>
              <w:left w:val="nil"/>
              <w:bottom w:val="single" w:sz="4" w:space="0" w:color="A5A5A5"/>
              <w:right w:val="single" w:sz="4" w:space="0" w:color="A5A5A5"/>
            </w:tcBorders>
            <w:shd w:val="clear" w:color="auto" w:fill="auto"/>
            <w:noWrap/>
            <w:hideMark/>
          </w:tcPr>
          <w:p w14:paraId="5C14AAFA"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Pibor</w:t>
            </w:r>
          </w:p>
        </w:tc>
        <w:tc>
          <w:tcPr>
            <w:tcW w:w="1980" w:type="dxa"/>
            <w:tcBorders>
              <w:top w:val="nil"/>
              <w:left w:val="nil"/>
              <w:bottom w:val="single" w:sz="4" w:space="0" w:color="A5A5A5"/>
              <w:right w:val="single" w:sz="4" w:space="0" w:color="A5A5A5"/>
            </w:tcBorders>
            <w:shd w:val="clear" w:color="auto" w:fill="auto"/>
            <w:noWrap/>
            <w:hideMark/>
          </w:tcPr>
          <w:p w14:paraId="1FF023BF" w14:textId="77777777" w:rsidR="005F7ACB" w:rsidRPr="005F7ACB" w:rsidRDefault="005F7ACB" w:rsidP="005668A6">
            <w:pPr>
              <w:rPr>
                <w:rFonts w:ascii="Cambria" w:eastAsia="Times New Roman" w:hAnsi="Cambria" w:cs="Times New Roman"/>
                <w:color w:val="000000"/>
                <w:kern w:val="0"/>
                <w:sz w:val="20"/>
                <w:szCs w:val="20"/>
                <w14:ligatures w14:val="none"/>
              </w:rPr>
            </w:pPr>
            <w:r w:rsidRPr="00B2074E">
              <w:rPr>
                <w:rFonts w:ascii="Cambria" w:eastAsia="Times New Roman" w:hAnsi="Cambria" w:cs="Times New Roman"/>
                <w:b/>
                <w:bCs/>
                <w:color w:val="000000"/>
                <w:kern w:val="0"/>
                <w:sz w:val="20"/>
                <w:szCs w:val="20"/>
                <w14:ligatures w14:val="none"/>
              </w:rPr>
              <w:t>Famine</w:t>
            </w:r>
            <w:r w:rsidRPr="005F7ACB">
              <w:rPr>
                <w:rFonts w:ascii="Cambria" w:eastAsia="Times New Roman" w:hAnsi="Cambria" w:cs="Times New Roman"/>
                <w:color w:val="000000"/>
                <w:kern w:val="0"/>
                <w:sz w:val="20"/>
                <w:szCs w:val="20"/>
                <w14:ligatures w14:val="none"/>
              </w:rPr>
              <w:t xml:space="preserve"> with reasonable evidence</w:t>
            </w:r>
          </w:p>
        </w:tc>
        <w:tc>
          <w:tcPr>
            <w:tcW w:w="1170" w:type="dxa"/>
            <w:tcBorders>
              <w:top w:val="nil"/>
              <w:left w:val="nil"/>
              <w:bottom w:val="single" w:sz="4" w:space="0" w:color="A5A5A5"/>
              <w:right w:val="single" w:sz="4" w:space="0" w:color="A5A5A5"/>
            </w:tcBorders>
            <w:shd w:val="clear" w:color="auto" w:fill="auto"/>
            <w:noWrap/>
            <w:hideMark/>
          </w:tcPr>
          <w:p w14:paraId="5A981194"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2,039,000</w:t>
            </w:r>
          </w:p>
        </w:tc>
        <w:tc>
          <w:tcPr>
            <w:tcW w:w="990" w:type="dxa"/>
            <w:tcBorders>
              <w:top w:val="nil"/>
              <w:left w:val="nil"/>
              <w:bottom w:val="single" w:sz="4" w:space="0" w:color="A5A5A5"/>
              <w:right w:val="single" w:sz="4" w:space="0" w:color="A5A5A5"/>
            </w:tcBorders>
            <w:shd w:val="clear" w:color="auto" w:fill="auto"/>
            <w:noWrap/>
            <w:hideMark/>
          </w:tcPr>
          <w:p w14:paraId="16E747A4"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17%</w:t>
            </w:r>
          </w:p>
        </w:tc>
        <w:tc>
          <w:tcPr>
            <w:tcW w:w="1080" w:type="dxa"/>
            <w:tcBorders>
              <w:top w:val="nil"/>
              <w:left w:val="nil"/>
              <w:bottom w:val="single" w:sz="4" w:space="0" w:color="A5A5A5"/>
              <w:right w:val="single" w:sz="4" w:space="0" w:color="A5A5A5"/>
            </w:tcBorders>
            <w:shd w:val="clear" w:color="auto" w:fill="auto"/>
            <w:noWrap/>
            <w:hideMark/>
          </w:tcPr>
          <w:p w14:paraId="41B40F22"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92,000</w:t>
            </w:r>
          </w:p>
        </w:tc>
        <w:tc>
          <w:tcPr>
            <w:tcW w:w="990" w:type="dxa"/>
            <w:tcBorders>
              <w:top w:val="nil"/>
              <w:left w:val="nil"/>
              <w:bottom w:val="single" w:sz="4" w:space="0" w:color="A5A5A5"/>
              <w:right w:val="single" w:sz="4" w:space="0" w:color="A5A5A5"/>
            </w:tcBorders>
            <w:shd w:val="clear" w:color="auto" w:fill="auto"/>
            <w:noWrap/>
            <w:hideMark/>
          </w:tcPr>
          <w:p w14:paraId="33B559CD" w14:textId="77777777" w:rsidR="005F7ACB" w:rsidRPr="005F7ACB" w:rsidRDefault="005F7ACB" w:rsidP="005F7ACB">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w:t>
            </w:r>
          </w:p>
        </w:tc>
        <w:tc>
          <w:tcPr>
            <w:tcW w:w="1530" w:type="dxa"/>
            <w:tcBorders>
              <w:top w:val="nil"/>
              <w:left w:val="nil"/>
              <w:bottom w:val="single" w:sz="4" w:space="0" w:color="A5A5A5"/>
              <w:right w:val="single" w:sz="4" w:space="0" w:color="A5A5A5"/>
            </w:tcBorders>
            <w:shd w:val="clear" w:color="auto" w:fill="auto"/>
            <w:noWrap/>
            <w:hideMark/>
          </w:tcPr>
          <w:p w14:paraId="4F42EE21" w14:textId="2A4FE50A" w:rsidR="005F7ACB" w:rsidRPr="005F7ACB" w:rsidRDefault="005F7ACB" w:rsidP="005668A6">
            <w:pPr>
              <w:rPr>
                <w:rFonts w:ascii="Cambria" w:eastAsia="Times New Roman" w:hAnsi="Cambria" w:cs="Times New Roman"/>
                <w:color w:val="000000"/>
                <w:kern w:val="0"/>
                <w:sz w:val="20"/>
                <w:szCs w:val="20"/>
                <w14:ligatures w14:val="none"/>
              </w:rPr>
            </w:pPr>
          </w:p>
        </w:tc>
      </w:tr>
      <w:tr w:rsidR="005F7ACB" w:rsidRPr="005F7ACB" w14:paraId="7DBBAF03"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3A42C29D"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November 2016</w:t>
            </w:r>
          </w:p>
        </w:tc>
        <w:tc>
          <w:tcPr>
            <w:tcW w:w="1350" w:type="dxa"/>
            <w:tcBorders>
              <w:top w:val="nil"/>
              <w:left w:val="nil"/>
              <w:bottom w:val="single" w:sz="4" w:space="0" w:color="A5A5A5"/>
              <w:right w:val="single" w:sz="4" w:space="0" w:color="A5A5A5"/>
            </w:tcBorders>
            <w:shd w:val="clear" w:color="auto" w:fill="auto"/>
            <w:noWrap/>
            <w:hideMark/>
          </w:tcPr>
          <w:p w14:paraId="2E30E597" w14:textId="77777777" w:rsidR="005F7ACB" w:rsidRPr="00116652" w:rsidRDefault="005F7ACB" w:rsidP="005668A6">
            <w:pPr>
              <w:rPr>
                <w:rFonts w:ascii="Cambria" w:eastAsia="Times New Roman" w:hAnsi="Cambria" w:cs="Times New Roman"/>
                <w:b/>
                <w:bCs/>
                <w:color w:val="000000"/>
                <w:kern w:val="0"/>
                <w:sz w:val="20"/>
                <w:szCs w:val="20"/>
                <w14:ligatures w14:val="none"/>
              </w:rPr>
            </w:pPr>
            <w:r w:rsidRPr="00116652">
              <w:rPr>
                <w:rFonts w:ascii="Cambria" w:eastAsia="Times New Roman" w:hAnsi="Cambria" w:cs="Times New Roman"/>
                <w:b/>
                <w:bCs/>
                <w:color w:val="000000"/>
                <w:kern w:val="0"/>
                <w:sz w:val="20"/>
                <w:szCs w:val="20"/>
                <w14:ligatures w14:val="none"/>
              </w:rPr>
              <w:t>Nigeria</w:t>
            </w:r>
          </w:p>
        </w:tc>
        <w:tc>
          <w:tcPr>
            <w:tcW w:w="1890" w:type="dxa"/>
            <w:tcBorders>
              <w:top w:val="nil"/>
              <w:left w:val="nil"/>
              <w:bottom w:val="single" w:sz="4" w:space="0" w:color="A5A5A5"/>
              <w:right w:val="single" w:sz="4" w:space="0" w:color="A5A5A5"/>
            </w:tcBorders>
            <w:shd w:val="clear" w:color="auto" w:fill="auto"/>
            <w:noWrap/>
            <w:hideMark/>
          </w:tcPr>
          <w:p w14:paraId="24E4A28E"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Northeast</w:t>
            </w:r>
          </w:p>
        </w:tc>
        <w:tc>
          <w:tcPr>
            <w:tcW w:w="1980" w:type="dxa"/>
            <w:tcBorders>
              <w:top w:val="nil"/>
              <w:left w:val="nil"/>
              <w:bottom w:val="single" w:sz="4" w:space="0" w:color="A5A5A5"/>
              <w:right w:val="single" w:sz="4" w:space="0" w:color="A5A5A5"/>
            </w:tcBorders>
            <w:shd w:val="clear" w:color="auto" w:fill="auto"/>
            <w:noWrap/>
            <w:hideMark/>
          </w:tcPr>
          <w:p w14:paraId="723CED1C"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Famine (retrospective)</w:t>
            </w:r>
          </w:p>
        </w:tc>
        <w:tc>
          <w:tcPr>
            <w:tcW w:w="1170" w:type="dxa"/>
            <w:tcBorders>
              <w:top w:val="nil"/>
              <w:left w:val="nil"/>
              <w:bottom w:val="single" w:sz="4" w:space="0" w:color="A5A5A5"/>
              <w:right w:val="single" w:sz="4" w:space="0" w:color="A5A5A5"/>
            </w:tcBorders>
            <w:shd w:val="clear" w:color="auto" w:fill="auto"/>
            <w:noWrap/>
            <w:hideMark/>
          </w:tcPr>
          <w:p w14:paraId="26614EF9"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1,800,000</w:t>
            </w:r>
          </w:p>
        </w:tc>
        <w:tc>
          <w:tcPr>
            <w:tcW w:w="990" w:type="dxa"/>
            <w:tcBorders>
              <w:top w:val="nil"/>
              <w:left w:val="nil"/>
              <w:bottom w:val="single" w:sz="4" w:space="0" w:color="A5A5A5"/>
              <w:right w:val="single" w:sz="4" w:space="0" w:color="A5A5A5"/>
            </w:tcBorders>
            <w:shd w:val="clear" w:color="auto" w:fill="auto"/>
            <w:noWrap/>
            <w:hideMark/>
          </w:tcPr>
          <w:p w14:paraId="7E1F6D69"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0.95%</w:t>
            </w:r>
          </w:p>
        </w:tc>
        <w:tc>
          <w:tcPr>
            <w:tcW w:w="1080" w:type="dxa"/>
            <w:tcBorders>
              <w:top w:val="nil"/>
              <w:left w:val="nil"/>
              <w:bottom w:val="single" w:sz="4" w:space="0" w:color="A5A5A5"/>
              <w:right w:val="single" w:sz="4" w:space="0" w:color="A5A5A5"/>
            </w:tcBorders>
            <w:shd w:val="clear" w:color="auto" w:fill="auto"/>
            <w:noWrap/>
            <w:hideMark/>
          </w:tcPr>
          <w:p w14:paraId="16B555E0"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55,000</w:t>
            </w:r>
          </w:p>
        </w:tc>
        <w:tc>
          <w:tcPr>
            <w:tcW w:w="990" w:type="dxa"/>
            <w:tcBorders>
              <w:top w:val="nil"/>
              <w:left w:val="nil"/>
              <w:bottom w:val="single" w:sz="4" w:space="0" w:color="A5A5A5"/>
              <w:right w:val="single" w:sz="4" w:space="0" w:color="A5A5A5"/>
            </w:tcBorders>
            <w:shd w:val="clear" w:color="auto" w:fill="auto"/>
            <w:noWrap/>
            <w:hideMark/>
          </w:tcPr>
          <w:p w14:paraId="45AC2819" w14:textId="77777777" w:rsidR="005F7ACB" w:rsidRPr="005F7ACB" w:rsidRDefault="005F7ACB" w:rsidP="005F7ACB">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0.03%</w:t>
            </w:r>
          </w:p>
        </w:tc>
        <w:tc>
          <w:tcPr>
            <w:tcW w:w="1530" w:type="dxa"/>
            <w:tcBorders>
              <w:top w:val="nil"/>
              <w:left w:val="nil"/>
              <w:bottom w:val="single" w:sz="4" w:space="0" w:color="A5A5A5"/>
              <w:right w:val="single" w:sz="4" w:space="0" w:color="A5A5A5"/>
            </w:tcBorders>
            <w:shd w:val="clear" w:color="auto" w:fill="auto"/>
            <w:noWrap/>
            <w:hideMark/>
          </w:tcPr>
          <w:p w14:paraId="1656D0A2" w14:textId="77777777" w:rsid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340,000</w:t>
            </w:r>
            <w:r>
              <w:rPr>
                <w:rFonts w:ascii="Cambria" w:eastAsia="Times New Roman" w:hAnsi="Cambria" w:cs="Times New Roman"/>
                <w:color w:val="000000"/>
                <w:kern w:val="0"/>
                <w:sz w:val="20"/>
                <w:szCs w:val="20"/>
                <w14:ligatures w14:val="none"/>
              </w:rPr>
              <w:t xml:space="preserve"> </w:t>
            </w:r>
          </w:p>
          <w:p w14:paraId="788B29FC" w14:textId="7C6052D6" w:rsidR="005F7ACB" w:rsidRPr="005F7ACB" w:rsidRDefault="005F7ACB" w:rsidP="005668A6">
            <w:pPr>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(2016-19)</w:t>
            </w:r>
          </w:p>
        </w:tc>
      </w:tr>
      <w:tr w:rsidR="005F7ACB" w:rsidRPr="005F7ACB" w14:paraId="1784D7CB"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2436089E"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November 2017</w:t>
            </w:r>
          </w:p>
        </w:tc>
        <w:tc>
          <w:tcPr>
            <w:tcW w:w="1350" w:type="dxa"/>
            <w:vMerge w:val="restart"/>
            <w:tcBorders>
              <w:top w:val="nil"/>
              <w:left w:val="nil"/>
              <w:right w:val="single" w:sz="4" w:space="0" w:color="A5A5A5"/>
            </w:tcBorders>
            <w:shd w:val="clear" w:color="auto" w:fill="auto"/>
            <w:noWrap/>
            <w:hideMark/>
          </w:tcPr>
          <w:p w14:paraId="4D494739" w14:textId="68FEDD29" w:rsidR="005F7ACB" w:rsidRPr="00116652" w:rsidRDefault="005F7ACB" w:rsidP="005668A6">
            <w:pPr>
              <w:rPr>
                <w:rFonts w:ascii="Cambria" w:eastAsia="Times New Roman" w:hAnsi="Cambria" w:cs="Times New Roman"/>
                <w:b/>
                <w:bCs/>
                <w:color w:val="000000"/>
                <w:kern w:val="0"/>
                <w:sz w:val="20"/>
                <w:szCs w:val="20"/>
                <w14:ligatures w14:val="none"/>
              </w:rPr>
            </w:pPr>
          </w:p>
          <w:p w14:paraId="47F558E9" w14:textId="0F3E27E8" w:rsidR="005F7ACB" w:rsidRPr="00116652" w:rsidRDefault="005F7ACB" w:rsidP="005668A6">
            <w:pPr>
              <w:rPr>
                <w:rFonts w:ascii="Cambria" w:eastAsia="Times New Roman" w:hAnsi="Cambria" w:cs="Times New Roman"/>
                <w:b/>
                <w:bCs/>
                <w:color w:val="000000"/>
                <w:kern w:val="0"/>
                <w:sz w:val="20"/>
                <w:szCs w:val="20"/>
                <w14:ligatures w14:val="none"/>
              </w:rPr>
            </w:pPr>
            <w:r w:rsidRPr="00116652">
              <w:rPr>
                <w:rFonts w:ascii="Cambria" w:eastAsia="Times New Roman" w:hAnsi="Cambria" w:cs="Times New Roman"/>
                <w:b/>
                <w:bCs/>
                <w:color w:val="000000"/>
                <w:kern w:val="0"/>
                <w:sz w:val="20"/>
                <w:szCs w:val="20"/>
                <w14:ligatures w14:val="none"/>
              </w:rPr>
              <w:t>Yemen</w:t>
            </w:r>
          </w:p>
        </w:tc>
        <w:tc>
          <w:tcPr>
            <w:tcW w:w="1890" w:type="dxa"/>
            <w:tcBorders>
              <w:top w:val="nil"/>
              <w:left w:val="nil"/>
              <w:bottom w:val="single" w:sz="4" w:space="0" w:color="A5A5A5"/>
              <w:right w:val="single" w:sz="4" w:space="0" w:color="A5A5A5"/>
            </w:tcBorders>
            <w:shd w:val="clear" w:color="auto" w:fill="auto"/>
            <w:noWrap/>
            <w:hideMark/>
          </w:tcPr>
          <w:p w14:paraId="2A60AF5F"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Multiple</w:t>
            </w:r>
          </w:p>
        </w:tc>
        <w:tc>
          <w:tcPr>
            <w:tcW w:w="1980" w:type="dxa"/>
            <w:tcBorders>
              <w:top w:val="nil"/>
              <w:left w:val="nil"/>
              <w:bottom w:val="single" w:sz="4" w:space="0" w:color="A5A5A5"/>
              <w:right w:val="single" w:sz="4" w:space="0" w:color="A5A5A5"/>
            </w:tcBorders>
            <w:shd w:val="clear" w:color="auto" w:fill="auto"/>
            <w:noWrap/>
            <w:hideMark/>
          </w:tcPr>
          <w:p w14:paraId="5A34A959"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Population in P5</w:t>
            </w:r>
          </w:p>
        </w:tc>
        <w:tc>
          <w:tcPr>
            <w:tcW w:w="1170" w:type="dxa"/>
            <w:tcBorders>
              <w:top w:val="nil"/>
              <w:left w:val="nil"/>
              <w:bottom w:val="single" w:sz="4" w:space="0" w:color="A5A5A5"/>
              <w:right w:val="single" w:sz="4" w:space="0" w:color="A5A5A5"/>
            </w:tcBorders>
            <w:shd w:val="clear" w:color="auto" w:fill="auto"/>
            <w:noWrap/>
            <w:hideMark/>
          </w:tcPr>
          <w:p w14:paraId="3151B35E"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6,780,000</w:t>
            </w:r>
          </w:p>
        </w:tc>
        <w:tc>
          <w:tcPr>
            <w:tcW w:w="990" w:type="dxa"/>
            <w:tcBorders>
              <w:top w:val="nil"/>
              <w:left w:val="nil"/>
              <w:bottom w:val="single" w:sz="4" w:space="0" w:color="A5A5A5"/>
              <w:right w:val="single" w:sz="4" w:space="0" w:color="A5A5A5"/>
            </w:tcBorders>
            <w:shd w:val="clear" w:color="auto" w:fill="auto"/>
            <w:noWrap/>
            <w:hideMark/>
          </w:tcPr>
          <w:p w14:paraId="265AF68A" w14:textId="6D290079"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24%</w:t>
            </w:r>
          </w:p>
        </w:tc>
        <w:tc>
          <w:tcPr>
            <w:tcW w:w="1080" w:type="dxa"/>
            <w:tcBorders>
              <w:top w:val="nil"/>
              <w:left w:val="nil"/>
              <w:bottom w:val="single" w:sz="4" w:space="0" w:color="A5A5A5"/>
              <w:right w:val="single" w:sz="4" w:space="0" w:color="A5A5A5"/>
            </w:tcBorders>
            <w:shd w:val="clear" w:color="auto" w:fill="auto"/>
            <w:noWrap/>
            <w:hideMark/>
          </w:tcPr>
          <w:p w14:paraId="0AB0DA5D"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0</w:t>
            </w:r>
          </w:p>
        </w:tc>
        <w:tc>
          <w:tcPr>
            <w:tcW w:w="990" w:type="dxa"/>
            <w:tcBorders>
              <w:top w:val="nil"/>
              <w:left w:val="nil"/>
              <w:bottom w:val="single" w:sz="4" w:space="0" w:color="A5A5A5"/>
              <w:right w:val="single" w:sz="4" w:space="0" w:color="A5A5A5"/>
            </w:tcBorders>
            <w:shd w:val="clear" w:color="auto" w:fill="auto"/>
            <w:noWrap/>
            <w:hideMark/>
          </w:tcPr>
          <w:p w14:paraId="3DB5C72D" w14:textId="77777777" w:rsidR="005F7ACB" w:rsidRPr="005F7ACB" w:rsidRDefault="005F7ACB" w:rsidP="005F7ACB">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0%</w:t>
            </w:r>
          </w:p>
        </w:tc>
        <w:tc>
          <w:tcPr>
            <w:tcW w:w="1530" w:type="dxa"/>
            <w:tcBorders>
              <w:top w:val="nil"/>
              <w:left w:val="nil"/>
              <w:bottom w:val="single" w:sz="4" w:space="0" w:color="A5A5A5"/>
              <w:right w:val="single" w:sz="4" w:space="0" w:color="A5A5A5"/>
            </w:tcBorders>
            <w:shd w:val="clear" w:color="auto" w:fill="auto"/>
            <w:noWrap/>
            <w:hideMark/>
          </w:tcPr>
          <w:p w14:paraId="486E7264" w14:textId="77777777" w:rsid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223,000</w:t>
            </w:r>
          </w:p>
          <w:p w14:paraId="01A6D554" w14:textId="43C27683" w:rsidR="005F7ACB" w:rsidRPr="005F7ACB" w:rsidRDefault="005F7ACB" w:rsidP="005668A6">
            <w:pPr>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(2016-21)</w:t>
            </w:r>
          </w:p>
        </w:tc>
      </w:tr>
      <w:tr w:rsidR="005F7ACB" w:rsidRPr="005F7ACB" w14:paraId="40645193"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5E574190"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March 2022</w:t>
            </w:r>
          </w:p>
        </w:tc>
        <w:tc>
          <w:tcPr>
            <w:tcW w:w="1350" w:type="dxa"/>
            <w:vMerge/>
            <w:tcBorders>
              <w:left w:val="nil"/>
              <w:bottom w:val="single" w:sz="4" w:space="0" w:color="A5A5A5"/>
              <w:right w:val="single" w:sz="4" w:space="0" w:color="A5A5A5"/>
            </w:tcBorders>
            <w:shd w:val="clear" w:color="auto" w:fill="auto"/>
            <w:noWrap/>
            <w:hideMark/>
          </w:tcPr>
          <w:p w14:paraId="547B21B4" w14:textId="7A5FEE63" w:rsidR="005F7ACB" w:rsidRPr="00116652" w:rsidRDefault="005F7ACB" w:rsidP="005668A6">
            <w:pPr>
              <w:rPr>
                <w:rFonts w:ascii="Cambria" w:eastAsia="Times New Roman" w:hAnsi="Cambria" w:cs="Times New Roman"/>
                <w:b/>
                <w:bCs/>
                <w:color w:val="000000"/>
                <w:kern w:val="0"/>
                <w:sz w:val="20"/>
                <w:szCs w:val="20"/>
                <w14:ligatures w14:val="none"/>
              </w:rPr>
            </w:pPr>
          </w:p>
        </w:tc>
        <w:tc>
          <w:tcPr>
            <w:tcW w:w="1890" w:type="dxa"/>
            <w:tcBorders>
              <w:top w:val="nil"/>
              <w:left w:val="nil"/>
              <w:bottom w:val="single" w:sz="4" w:space="0" w:color="A5A5A5"/>
              <w:right w:val="single" w:sz="4" w:space="0" w:color="A5A5A5"/>
            </w:tcBorders>
            <w:shd w:val="clear" w:color="auto" w:fill="auto"/>
            <w:noWrap/>
            <w:hideMark/>
          </w:tcPr>
          <w:p w14:paraId="12C8E1EA"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Hajjah/ Hodeida</w:t>
            </w:r>
          </w:p>
        </w:tc>
        <w:tc>
          <w:tcPr>
            <w:tcW w:w="1980" w:type="dxa"/>
            <w:tcBorders>
              <w:top w:val="nil"/>
              <w:left w:val="nil"/>
              <w:bottom w:val="single" w:sz="4" w:space="0" w:color="A5A5A5"/>
              <w:right w:val="single" w:sz="4" w:space="0" w:color="A5A5A5"/>
            </w:tcBorders>
            <w:shd w:val="clear" w:color="auto" w:fill="auto"/>
            <w:noWrap/>
            <w:hideMark/>
          </w:tcPr>
          <w:p w14:paraId="3F8F9A96"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Population in P5</w:t>
            </w:r>
          </w:p>
        </w:tc>
        <w:tc>
          <w:tcPr>
            <w:tcW w:w="1170" w:type="dxa"/>
            <w:tcBorders>
              <w:top w:val="nil"/>
              <w:left w:val="nil"/>
              <w:bottom w:val="single" w:sz="4" w:space="0" w:color="A5A5A5"/>
              <w:right w:val="single" w:sz="4" w:space="0" w:color="A5A5A5"/>
            </w:tcBorders>
            <w:shd w:val="clear" w:color="auto" w:fill="auto"/>
            <w:noWrap/>
            <w:hideMark/>
          </w:tcPr>
          <w:p w14:paraId="7DF47E73" w14:textId="4353F853" w:rsidR="005F7ACB" w:rsidRPr="005F7ACB" w:rsidRDefault="005F7ACB" w:rsidP="005F7ACB">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 5,620,000</w:t>
            </w:r>
          </w:p>
        </w:tc>
        <w:tc>
          <w:tcPr>
            <w:tcW w:w="990" w:type="dxa"/>
            <w:tcBorders>
              <w:top w:val="nil"/>
              <w:left w:val="nil"/>
              <w:bottom w:val="single" w:sz="4" w:space="0" w:color="A5A5A5"/>
              <w:right w:val="single" w:sz="4" w:space="0" w:color="A5A5A5"/>
            </w:tcBorders>
            <w:shd w:val="clear" w:color="auto" w:fill="auto"/>
          </w:tcPr>
          <w:p w14:paraId="05C2549C" w14:textId="789AFEAC" w:rsidR="005F7ACB" w:rsidRPr="005F7ACB" w:rsidRDefault="005F7ACB" w:rsidP="00DC3E0C">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 17%</w:t>
            </w:r>
          </w:p>
        </w:tc>
        <w:tc>
          <w:tcPr>
            <w:tcW w:w="1080" w:type="dxa"/>
            <w:tcBorders>
              <w:top w:val="nil"/>
              <w:left w:val="nil"/>
              <w:bottom w:val="single" w:sz="4" w:space="0" w:color="A5A5A5"/>
              <w:right w:val="single" w:sz="4" w:space="0" w:color="A5A5A5"/>
            </w:tcBorders>
            <w:shd w:val="clear" w:color="auto" w:fill="auto"/>
            <w:noWrap/>
            <w:hideMark/>
          </w:tcPr>
          <w:p w14:paraId="0B3496F4"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31,000</w:t>
            </w:r>
          </w:p>
        </w:tc>
        <w:tc>
          <w:tcPr>
            <w:tcW w:w="990" w:type="dxa"/>
            <w:tcBorders>
              <w:top w:val="nil"/>
              <w:left w:val="nil"/>
              <w:bottom w:val="single" w:sz="4" w:space="0" w:color="A5A5A5"/>
              <w:right w:val="single" w:sz="4" w:space="0" w:color="A5A5A5"/>
            </w:tcBorders>
            <w:shd w:val="clear" w:color="auto" w:fill="auto"/>
            <w:noWrap/>
            <w:hideMark/>
          </w:tcPr>
          <w:p w14:paraId="7B8FD48A" w14:textId="77777777" w:rsidR="005F7ACB" w:rsidRPr="005F7ACB" w:rsidRDefault="005F7ACB" w:rsidP="005F7ACB">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&lt;1%</w:t>
            </w:r>
          </w:p>
        </w:tc>
        <w:tc>
          <w:tcPr>
            <w:tcW w:w="1530" w:type="dxa"/>
            <w:tcBorders>
              <w:top w:val="nil"/>
              <w:left w:val="nil"/>
              <w:bottom w:val="single" w:sz="4" w:space="0" w:color="A5A5A5"/>
              <w:right w:val="single" w:sz="4" w:space="0" w:color="A5A5A5"/>
            </w:tcBorders>
            <w:shd w:val="clear" w:color="auto" w:fill="auto"/>
            <w:noWrap/>
            <w:hideMark/>
          </w:tcPr>
          <w:p w14:paraId="57D9BCC5" w14:textId="39F674D1"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Not known</w:t>
            </w:r>
          </w:p>
        </w:tc>
      </w:tr>
      <w:tr w:rsidR="005F7ACB" w:rsidRPr="005F7ACB" w14:paraId="394690FB"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639A56EE"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December 2017</w:t>
            </w:r>
          </w:p>
        </w:tc>
        <w:tc>
          <w:tcPr>
            <w:tcW w:w="1350" w:type="dxa"/>
            <w:tcBorders>
              <w:top w:val="nil"/>
              <w:left w:val="nil"/>
              <w:bottom w:val="single" w:sz="4" w:space="0" w:color="A5A5A5"/>
              <w:right w:val="single" w:sz="4" w:space="0" w:color="A5A5A5"/>
            </w:tcBorders>
            <w:shd w:val="clear" w:color="auto" w:fill="auto"/>
            <w:noWrap/>
            <w:hideMark/>
          </w:tcPr>
          <w:p w14:paraId="3305E332" w14:textId="77777777" w:rsidR="005F7ACB" w:rsidRPr="00116652" w:rsidRDefault="005F7ACB" w:rsidP="005668A6">
            <w:pPr>
              <w:rPr>
                <w:rFonts w:ascii="Cambria" w:eastAsia="Times New Roman" w:hAnsi="Cambria" w:cs="Times New Roman"/>
                <w:b/>
                <w:bCs/>
                <w:color w:val="000000"/>
                <w:kern w:val="0"/>
                <w:sz w:val="20"/>
                <w:szCs w:val="20"/>
                <w14:ligatures w14:val="none"/>
              </w:rPr>
            </w:pPr>
            <w:r w:rsidRPr="00116652">
              <w:rPr>
                <w:rFonts w:ascii="Cambria" w:eastAsia="Times New Roman" w:hAnsi="Cambria" w:cs="Times New Roman"/>
                <w:b/>
                <w:bCs/>
                <w:color w:val="000000"/>
                <w:kern w:val="0"/>
                <w:sz w:val="20"/>
                <w:szCs w:val="20"/>
                <w14:ligatures w14:val="none"/>
              </w:rPr>
              <w:t xml:space="preserve">Ethiopia </w:t>
            </w:r>
          </w:p>
        </w:tc>
        <w:tc>
          <w:tcPr>
            <w:tcW w:w="1890" w:type="dxa"/>
            <w:tcBorders>
              <w:top w:val="nil"/>
              <w:left w:val="nil"/>
              <w:bottom w:val="single" w:sz="4" w:space="0" w:color="A5A5A5"/>
              <w:right w:val="single" w:sz="4" w:space="0" w:color="A5A5A5"/>
            </w:tcBorders>
            <w:shd w:val="clear" w:color="auto" w:fill="auto"/>
            <w:noWrap/>
            <w:hideMark/>
          </w:tcPr>
          <w:p w14:paraId="03E9BCE0"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Southeast</w:t>
            </w:r>
          </w:p>
        </w:tc>
        <w:tc>
          <w:tcPr>
            <w:tcW w:w="1980" w:type="dxa"/>
            <w:tcBorders>
              <w:top w:val="nil"/>
              <w:left w:val="nil"/>
              <w:bottom w:val="single" w:sz="4" w:space="0" w:color="A5A5A5"/>
              <w:right w:val="single" w:sz="4" w:space="0" w:color="A5A5A5"/>
            </w:tcBorders>
            <w:shd w:val="clear" w:color="auto" w:fill="auto"/>
            <w:noWrap/>
            <w:hideMark/>
          </w:tcPr>
          <w:p w14:paraId="38FF8A55"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Population in P5</w:t>
            </w:r>
          </w:p>
        </w:tc>
        <w:tc>
          <w:tcPr>
            <w:tcW w:w="1170" w:type="dxa"/>
            <w:tcBorders>
              <w:top w:val="nil"/>
              <w:left w:val="nil"/>
              <w:bottom w:val="single" w:sz="4" w:space="0" w:color="A5A5A5"/>
              <w:right w:val="single" w:sz="4" w:space="0" w:color="A5A5A5"/>
            </w:tcBorders>
            <w:shd w:val="clear" w:color="auto" w:fill="auto"/>
            <w:noWrap/>
            <w:hideMark/>
          </w:tcPr>
          <w:p w14:paraId="3E6AB81E"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19,130</w:t>
            </w:r>
          </w:p>
        </w:tc>
        <w:tc>
          <w:tcPr>
            <w:tcW w:w="990" w:type="dxa"/>
            <w:tcBorders>
              <w:top w:val="nil"/>
              <w:left w:val="nil"/>
              <w:bottom w:val="single" w:sz="4" w:space="0" w:color="A5A5A5"/>
              <w:right w:val="single" w:sz="4" w:space="0" w:color="A5A5A5"/>
            </w:tcBorders>
            <w:shd w:val="clear" w:color="auto" w:fill="auto"/>
            <w:noWrap/>
            <w:hideMark/>
          </w:tcPr>
          <w:p w14:paraId="1F263D8D"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2%</w:t>
            </w:r>
          </w:p>
        </w:tc>
        <w:tc>
          <w:tcPr>
            <w:tcW w:w="1080" w:type="dxa"/>
            <w:tcBorders>
              <w:top w:val="nil"/>
              <w:left w:val="nil"/>
              <w:bottom w:val="single" w:sz="4" w:space="0" w:color="A5A5A5"/>
              <w:right w:val="single" w:sz="4" w:space="0" w:color="A5A5A5"/>
            </w:tcBorders>
            <w:shd w:val="clear" w:color="auto" w:fill="auto"/>
            <w:noWrap/>
            <w:hideMark/>
          </w:tcPr>
          <w:p w14:paraId="19141E38"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0</w:t>
            </w:r>
          </w:p>
        </w:tc>
        <w:tc>
          <w:tcPr>
            <w:tcW w:w="990" w:type="dxa"/>
            <w:tcBorders>
              <w:top w:val="nil"/>
              <w:left w:val="nil"/>
              <w:bottom w:val="single" w:sz="4" w:space="0" w:color="A5A5A5"/>
              <w:right w:val="single" w:sz="4" w:space="0" w:color="A5A5A5"/>
            </w:tcBorders>
            <w:shd w:val="clear" w:color="auto" w:fill="auto"/>
            <w:noWrap/>
            <w:hideMark/>
          </w:tcPr>
          <w:p w14:paraId="33D81593" w14:textId="77777777" w:rsidR="005F7ACB" w:rsidRPr="005F7ACB" w:rsidRDefault="005F7ACB" w:rsidP="005F7ACB">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0%</w:t>
            </w:r>
          </w:p>
        </w:tc>
        <w:tc>
          <w:tcPr>
            <w:tcW w:w="1530" w:type="dxa"/>
            <w:tcBorders>
              <w:top w:val="nil"/>
              <w:left w:val="nil"/>
              <w:bottom w:val="single" w:sz="4" w:space="0" w:color="A5A5A5"/>
              <w:right w:val="single" w:sz="4" w:space="0" w:color="A5A5A5"/>
            </w:tcBorders>
            <w:shd w:val="clear" w:color="auto" w:fill="auto"/>
            <w:noWrap/>
            <w:hideMark/>
          </w:tcPr>
          <w:p w14:paraId="03C069F8" w14:textId="38643394"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Not known</w:t>
            </w:r>
          </w:p>
        </w:tc>
      </w:tr>
      <w:tr w:rsidR="005F7ACB" w:rsidRPr="005F7ACB" w14:paraId="02D385D5"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6334B51D"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July 2011-February 2012</w:t>
            </w:r>
          </w:p>
        </w:tc>
        <w:tc>
          <w:tcPr>
            <w:tcW w:w="1350" w:type="dxa"/>
            <w:tcBorders>
              <w:top w:val="nil"/>
              <w:left w:val="nil"/>
              <w:bottom w:val="single" w:sz="4" w:space="0" w:color="A5A5A5"/>
              <w:right w:val="single" w:sz="4" w:space="0" w:color="A5A5A5"/>
            </w:tcBorders>
            <w:shd w:val="clear" w:color="auto" w:fill="auto"/>
            <w:noWrap/>
            <w:hideMark/>
          </w:tcPr>
          <w:p w14:paraId="781501C2" w14:textId="77777777" w:rsidR="005F7ACB" w:rsidRPr="00116652" w:rsidRDefault="005F7ACB" w:rsidP="005668A6">
            <w:pPr>
              <w:rPr>
                <w:rFonts w:ascii="Cambria" w:eastAsia="Times New Roman" w:hAnsi="Cambria" w:cs="Times New Roman"/>
                <w:b/>
                <w:bCs/>
                <w:color w:val="000000"/>
                <w:kern w:val="0"/>
                <w:sz w:val="20"/>
                <w:szCs w:val="20"/>
                <w14:ligatures w14:val="none"/>
              </w:rPr>
            </w:pPr>
            <w:r w:rsidRPr="00116652">
              <w:rPr>
                <w:rFonts w:ascii="Cambria" w:eastAsia="Times New Roman" w:hAnsi="Cambria" w:cs="Times New Roman"/>
                <w:b/>
                <w:bCs/>
                <w:color w:val="000000"/>
                <w:kern w:val="0"/>
                <w:sz w:val="20"/>
                <w:szCs w:val="20"/>
                <w14:ligatures w14:val="none"/>
              </w:rPr>
              <w:t>Madagascar</w:t>
            </w:r>
          </w:p>
        </w:tc>
        <w:tc>
          <w:tcPr>
            <w:tcW w:w="1890" w:type="dxa"/>
            <w:tcBorders>
              <w:top w:val="nil"/>
              <w:left w:val="nil"/>
              <w:bottom w:val="single" w:sz="4" w:space="0" w:color="A5A5A5"/>
              <w:right w:val="single" w:sz="4" w:space="0" w:color="A5A5A5"/>
            </w:tcBorders>
            <w:shd w:val="clear" w:color="auto" w:fill="auto"/>
            <w:noWrap/>
            <w:hideMark/>
          </w:tcPr>
          <w:p w14:paraId="58F162B7"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Grand Sud</w:t>
            </w:r>
          </w:p>
        </w:tc>
        <w:tc>
          <w:tcPr>
            <w:tcW w:w="1980" w:type="dxa"/>
            <w:tcBorders>
              <w:top w:val="nil"/>
              <w:left w:val="nil"/>
              <w:bottom w:val="single" w:sz="4" w:space="0" w:color="A5A5A5"/>
              <w:right w:val="single" w:sz="4" w:space="0" w:color="A5A5A5"/>
            </w:tcBorders>
            <w:shd w:val="clear" w:color="auto" w:fill="auto"/>
            <w:noWrap/>
            <w:hideMark/>
          </w:tcPr>
          <w:p w14:paraId="3F64EE42"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Risk of Famine</w:t>
            </w:r>
          </w:p>
        </w:tc>
        <w:tc>
          <w:tcPr>
            <w:tcW w:w="1170" w:type="dxa"/>
            <w:tcBorders>
              <w:top w:val="nil"/>
              <w:left w:val="nil"/>
              <w:bottom w:val="single" w:sz="4" w:space="0" w:color="A5A5A5"/>
              <w:right w:val="single" w:sz="4" w:space="0" w:color="A5A5A5"/>
            </w:tcBorders>
            <w:shd w:val="clear" w:color="auto" w:fill="auto"/>
            <w:noWrap/>
            <w:hideMark/>
          </w:tcPr>
          <w:p w14:paraId="1E152369"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392,000</w:t>
            </w:r>
          </w:p>
        </w:tc>
        <w:tc>
          <w:tcPr>
            <w:tcW w:w="990" w:type="dxa"/>
            <w:tcBorders>
              <w:top w:val="nil"/>
              <w:left w:val="nil"/>
              <w:bottom w:val="single" w:sz="4" w:space="0" w:color="A5A5A5"/>
              <w:right w:val="single" w:sz="4" w:space="0" w:color="A5A5A5"/>
            </w:tcBorders>
            <w:shd w:val="clear" w:color="auto" w:fill="auto"/>
            <w:noWrap/>
            <w:hideMark/>
          </w:tcPr>
          <w:p w14:paraId="2BFC26EC"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15%</w:t>
            </w:r>
          </w:p>
        </w:tc>
        <w:tc>
          <w:tcPr>
            <w:tcW w:w="1080" w:type="dxa"/>
            <w:tcBorders>
              <w:top w:val="nil"/>
              <w:left w:val="nil"/>
              <w:bottom w:val="single" w:sz="4" w:space="0" w:color="A5A5A5"/>
              <w:right w:val="single" w:sz="4" w:space="0" w:color="A5A5A5"/>
            </w:tcBorders>
            <w:shd w:val="clear" w:color="auto" w:fill="auto"/>
            <w:noWrap/>
            <w:hideMark/>
          </w:tcPr>
          <w:p w14:paraId="036DF2EC"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14,000</w:t>
            </w:r>
          </w:p>
        </w:tc>
        <w:tc>
          <w:tcPr>
            <w:tcW w:w="990" w:type="dxa"/>
            <w:tcBorders>
              <w:top w:val="nil"/>
              <w:left w:val="nil"/>
              <w:bottom w:val="single" w:sz="4" w:space="0" w:color="A5A5A5"/>
              <w:right w:val="single" w:sz="4" w:space="0" w:color="A5A5A5"/>
            </w:tcBorders>
            <w:shd w:val="clear" w:color="auto" w:fill="auto"/>
            <w:noWrap/>
            <w:hideMark/>
          </w:tcPr>
          <w:p w14:paraId="2C0CEA47"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w:t>
            </w:r>
          </w:p>
        </w:tc>
        <w:tc>
          <w:tcPr>
            <w:tcW w:w="1530" w:type="dxa"/>
            <w:tcBorders>
              <w:top w:val="nil"/>
              <w:left w:val="nil"/>
              <w:bottom w:val="single" w:sz="4" w:space="0" w:color="A5A5A5"/>
              <w:right w:val="single" w:sz="4" w:space="0" w:color="A5A5A5"/>
            </w:tcBorders>
            <w:shd w:val="clear" w:color="auto" w:fill="auto"/>
            <w:noWrap/>
            <w:hideMark/>
          </w:tcPr>
          <w:p w14:paraId="06847585" w14:textId="6DF018C1"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Not known</w:t>
            </w:r>
          </w:p>
        </w:tc>
      </w:tr>
      <w:tr w:rsidR="005F7ACB" w:rsidRPr="005F7ACB" w14:paraId="76031636"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07C1FE65"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July 2021</w:t>
            </w:r>
          </w:p>
        </w:tc>
        <w:tc>
          <w:tcPr>
            <w:tcW w:w="1350" w:type="dxa"/>
            <w:tcBorders>
              <w:top w:val="nil"/>
              <w:left w:val="nil"/>
              <w:bottom w:val="single" w:sz="4" w:space="0" w:color="A5A5A5"/>
              <w:right w:val="single" w:sz="4" w:space="0" w:color="A5A5A5"/>
            </w:tcBorders>
            <w:shd w:val="clear" w:color="auto" w:fill="auto"/>
            <w:noWrap/>
            <w:hideMark/>
          </w:tcPr>
          <w:p w14:paraId="38491D25" w14:textId="77777777" w:rsidR="005F7ACB" w:rsidRPr="00116652" w:rsidRDefault="005F7ACB" w:rsidP="005668A6">
            <w:pPr>
              <w:rPr>
                <w:rFonts w:ascii="Cambria" w:eastAsia="Times New Roman" w:hAnsi="Cambria" w:cs="Times New Roman"/>
                <w:b/>
                <w:bCs/>
                <w:color w:val="000000"/>
                <w:kern w:val="0"/>
                <w:sz w:val="20"/>
                <w:szCs w:val="20"/>
                <w14:ligatures w14:val="none"/>
              </w:rPr>
            </w:pPr>
            <w:r w:rsidRPr="00116652">
              <w:rPr>
                <w:rFonts w:ascii="Cambria" w:eastAsia="Times New Roman" w:hAnsi="Cambria" w:cs="Times New Roman"/>
                <w:b/>
                <w:bCs/>
                <w:color w:val="000000"/>
                <w:kern w:val="0"/>
                <w:sz w:val="20"/>
                <w:szCs w:val="20"/>
                <w14:ligatures w14:val="none"/>
              </w:rPr>
              <w:t>Ethiopia</w:t>
            </w:r>
          </w:p>
        </w:tc>
        <w:tc>
          <w:tcPr>
            <w:tcW w:w="1890" w:type="dxa"/>
            <w:tcBorders>
              <w:top w:val="nil"/>
              <w:left w:val="nil"/>
              <w:bottom w:val="single" w:sz="4" w:space="0" w:color="A5A5A5"/>
              <w:right w:val="single" w:sz="4" w:space="0" w:color="A5A5A5"/>
            </w:tcBorders>
            <w:shd w:val="clear" w:color="auto" w:fill="auto"/>
            <w:noWrap/>
            <w:hideMark/>
          </w:tcPr>
          <w:p w14:paraId="67EFE49A"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Tigray</w:t>
            </w:r>
          </w:p>
        </w:tc>
        <w:tc>
          <w:tcPr>
            <w:tcW w:w="1980" w:type="dxa"/>
            <w:tcBorders>
              <w:top w:val="nil"/>
              <w:left w:val="nil"/>
              <w:bottom w:val="single" w:sz="4" w:space="0" w:color="A5A5A5"/>
              <w:right w:val="single" w:sz="4" w:space="0" w:color="A5A5A5"/>
            </w:tcBorders>
            <w:shd w:val="clear" w:color="auto" w:fill="auto"/>
            <w:noWrap/>
            <w:hideMark/>
          </w:tcPr>
          <w:p w14:paraId="7921E67F"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Risk of Famine</w:t>
            </w:r>
          </w:p>
        </w:tc>
        <w:tc>
          <w:tcPr>
            <w:tcW w:w="1170" w:type="dxa"/>
            <w:tcBorders>
              <w:top w:val="nil"/>
              <w:left w:val="nil"/>
              <w:bottom w:val="single" w:sz="4" w:space="0" w:color="A5A5A5"/>
              <w:right w:val="single" w:sz="4" w:space="0" w:color="A5A5A5"/>
            </w:tcBorders>
            <w:shd w:val="clear" w:color="auto" w:fill="auto"/>
            <w:noWrap/>
            <w:hideMark/>
          </w:tcPr>
          <w:p w14:paraId="24948E53"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2,078,000</w:t>
            </w:r>
          </w:p>
        </w:tc>
        <w:tc>
          <w:tcPr>
            <w:tcW w:w="990" w:type="dxa"/>
            <w:tcBorders>
              <w:top w:val="nil"/>
              <w:left w:val="nil"/>
              <w:bottom w:val="single" w:sz="4" w:space="0" w:color="A5A5A5"/>
              <w:right w:val="single" w:sz="4" w:space="0" w:color="A5A5A5"/>
            </w:tcBorders>
            <w:shd w:val="clear" w:color="auto" w:fill="auto"/>
            <w:noWrap/>
            <w:hideMark/>
          </w:tcPr>
          <w:p w14:paraId="7224C71D"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1.72%</w:t>
            </w:r>
          </w:p>
        </w:tc>
        <w:tc>
          <w:tcPr>
            <w:tcW w:w="1080" w:type="dxa"/>
            <w:tcBorders>
              <w:top w:val="nil"/>
              <w:left w:val="nil"/>
              <w:bottom w:val="single" w:sz="4" w:space="0" w:color="A5A5A5"/>
              <w:right w:val="single" w:sz="4" w:space="0" w:color="A5A5A5"/>
            </w:tcBorders>
            <w:shd w:val="clear" w:color="auto" w:fill="auto"/>
            <w:noWrap/>
            <w:hideMark/>
          </w:tcPr>
          <w:p w14:paraId="07F78FE3"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353,000</w:t>
            </w:r>
          </w:p>
        </w:tc>
        <w:tc>
          <w:tcPr>
            <w:tcW w:w="990" w:type="dxa"/>
            <w:tcBorders>
              <w:top w:val="nil"/>
              <w:left w:val="nil"/>
              <w:bottom w:val="single" w:sz="4" w:space="0" w:color="A5A5A5"/>
              <w:right w:val="single" w:sz="4" w:space="0" w:color="A5A5A5"/>
            </w:tcBorders>
            <w:shd w:val="clear" w:color="auto" w:fill="auto"/>
            <w:noWrap/>
            <w:hideMark/>
          </w:tcPr>
          <w:p w14:paraId="3F579D9B"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0.29%</w:t>
            </w:r>
          </w:p>
        </w:tc>
        <w:tc>
          <w:tcPr>
            <w:tcW w:w="1530" w:type="dxa"/>
            <w:tcBorders>
              <w:top w:val="nil"/>
              <w:left w:val="nil"/>
              <w:bottom w:val="single" w:sz="4" w:space="0" w:color="A5A5A5"/>
              <w:right w:val="single" w:sz="4" w:space="0" w:color="A5A5A5"/>
            </w:tcBorders>
            <w:shd w:val="clear" w:color="auto" w:fill="auto"/>
            <w:noWrap/>
            <w:hideMark/>
          </w:tcPr>
          <w:p w14:paraId="19122A74" w14:textId="77777777" w:rsid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336,000</w:t>
            </w:r>
          </w:p>
          <w:p w14:paraId="1F46083F" w14:textId="171FA0FA" w:rsidR="005F7ACB" w:rsidRPr="005F7ACB" w:rsidRDefault="005F7ACB" w:rsidP="005668A6">
            <w:pPr>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(2020-22)</w:t>
            </w:r>
          </w:p>
        </w:tc>
      </w:tr>
      <w:tr w:rsidR="005F7ACB" w:rsidRPr="005F7ACB" w14:paraId="06C41515"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6F7814C5"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December 2023</w:t>
            </w:r>
          </w:p>
        </w:tc>
        <w:tc>
          <w:tcPr>
            <w:tcW w:w="1350" w:type="dxa"/>
            <w:vMerge w:val="restart"/>
            <w:tcBorders>
              <w:top w:val="nil"/>
              <w:left w:val="nil"/>
              <w:right w:val="single" w:sz="4" w:space="0" w:color="A5A5A5"/>
            </w:tcBorders>
            <w:shd w:val="clear" w:color="auto" w:fill="auto"/>
            <w:noWrap/>
            <w:hideMark/>
          </w:tcPr>
          <w:p w14:paraId="58E69E25" w14:textId="77777777" w:rsidR="005F7ACB" w:rsidRPr="00116652" w:rsidRDefault="005F7ACB" w:rsidP="005668A6">
            <w:pPr>
              <w:rPr>
                <w:rFonts w:ascii="Cambria" w:eastAsia="Times New Roman" w:hAnsi="Cambria" w:cs="Times New Roman"/>
                <w:b/>
                <w:bCs/>
                <w:color w:val="000000"/>
                <w:kern w:val="0"/>
                <w:sz w:val="20"/>
                <w:szCs w:val="20"/>
                <w14:ligatures w14:val="none"/>
              </w:rPr>
            </w:pPr>
          </w:p>
          <w:p w14:paraId="1CEF812B" w14:textId="77777777" w:rsidR="005F7ACB" w:rsidRPr="00116652" w:rsidRDefault="005F7ACB" w:rsidP="005668A6">
            <w:pPr>
              <w:rPr>
                <w:rFonts w:ascii="Cambria" w:eastAsia="Times New Roman" w:hAnsi="Cambria" w:cs="Times New Roman"/>
                <w:b/>
                <w:bCs/>
                <w:color w:val="000000"/>
                <w:kern w:val="0"/>
                <w:sz w:val="20"/>
                <w:szCs w:val="20"/>
                <w14:ligatures w14:val="none"/>
              </w:rPr>
            </w:pPr>
          </w:p>
          <w:p w14:paraId="6CC1ACD8" w14:textId="5807383F" w:rsidR="005F7ACB" w:rsidRPr="00116652" w:rsidRDefault="005F7ACB" w:rsidP="005668A6">
            <w:pPr>
              <w:rPr>
                <w:rFonts w:ascii="Cambria" w:eastAsia="Times New Roman" w:hAnsi="Cambria" w:cs="Times New Roman"/>
                <w:b/>
                <w:bCs/>
                <w:color w:val="000000"/>
                <w:kern w:val="0"/>
                <w:sz w:val="20"/>
                <w:szCs w:val="20"/>
                <w14:ligatures w14:val="none"/>
              </w:rPr>
            </w:pPr>
            <w:r w:rsidRPr="00116652">
              <w:rPr>
                <w:rFonts w:ascii="Cambria" w:eastAsia="Times New Roman" w:hAnsi="Cambria" w:cs="Times New Roman"/>
                <w:b/>
                <w:bCs/>
                <w:color w:val="000000"/>
                <w:kern w:val="0"/>
                <w:sz w:val="20"/>
                <w:szCs w:val="20"/>
                <w14:ligatures w14:val="none"/>
              </w:rPr>
              <w:t>Gaza</w:t>
            </w:r>
          </w:p>
        </w:tc>
        <w:tc>
          <w:tcPr>
            <w:tcW w:w="1890" w:type="dxa"/>
            <w:tcBorders>
              <w:top w:val="nil"/>
              <w:left w:val="nil"/>
              <w:bottom w:val="single" w:sz="4" w:space="0" w:color="A5A5A5"/>
              <w:right w:val="single" w:sz="4" w:space="0" w:color="A5A5A5"/>
            </w:tcBorders>
            <w:shd w:val="clear" w:color="auto" w:fill="auto"/>
            <w:noWrap/>
            <w:hideMark/>
          </w:tcPr>
          <w:p w14:paraId="5D10CE3B" w14:textId="72F04B6C" w:rsidR="005F7ACB" w:rsidRPr="005F7ACB" w:rsidRDefault="00B2074E" w:rsidP="005668A6">
            <w:pPr>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All Gaza</w:t>
            </w:r>
          </w:p>
        </w:tc>
        <w:tc>
          <w:tcPr>
            <w:tcW w:w="1980" w:type="dxa"/>
            <w:tcBorders>
              <w:top w:val="nil"/>
              <w:left w:val="nil"/>
              <w:bottom w:val="single" w:sz="4" w:space="0" w:color="A5A5A5"/>
              <w:right w:val="single" w:sz="4" w:space="0" w:color="A5A5A5"/>
            </w:tcBorders>
            <w:shd w:val="clear" w:color="auto" w:fill="auto"/>
            <w:noWrap/>
            <w:hideMark/>
          </w:tcPr>
          <w:p w14:paraId="68C49FB2"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Risk of Famine</w:t>
            </w:r>
          </w:p>
        </w:tc>
        <w:tc>
          <w:tcPr>
            <w:tcW w:w="1170" w:type="dxa"/>
            <w:tcBorders>
              <w:top w:val="nil"/>
              <w:left w:val="nil"/>
              <w:bottom w:val="single" w:sz="4" w:space="0" w:color="A5A5A5"/>
              <w:right w:val="single" w:sz="4" w:space="0" w:color="A5A5A5"/>
            </w:tcBorders>
            <w:shd w:val="clear" w:color="auto" w:fill="auto"/>
            <w:noWrap/>
            <w:hideMark/>
          </w:tcPr>
          <w:p w14:paraId="5A2F6FF1"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938,600</w:t>
            </w:r>
          </w:p>
        </w:tc>
        <w:tc>
          <w:tcPr>
            <w:tcW w:w="990" w:type="dxa"/>
            <w:tcBorders>
              <w:top w:val="nil"/>
              <w:left w:val="nil"/>
              <w:bottom w:val="single" w:sz="4" w:space="0" w:color="A5A5A5"/>
              <w:right w:val="single" w:sz="4" w:space="0" w:color="A5A5A5"/>
            </w:tcBorders>
            <w:shd w:val="clear" w:color="auto" w:fill="auto"/>
            <w:noWrap/>
            <w:hideMark/>
          </w:tcPr>
          <w:p w14:paraId="68E64930"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42%</w:t>
            </w:r>
          </w:p>
        </w:tc>
        <w:tc>
          <w:tcPr>
            <w:tcW w:w="1080" w:type="dxa"/>
            <w:tcBorders>
              <w:top w:val="nil"/>
              <w:left w:val="nil"/>
              <w:bottom w:val="single" w:sz="4" w:space="0" w:color="A5A5A5"/>
              <w:right w:val="single" w:sz="4" w:space="0" w:color="A5A5A5"/>
            </w:tcBorders>
            <w:shd w:val="clear" w:color="auto" w:fill="auto"/>
            <w:noWrap/>
            <w:hideMark/>
          </w:tcPr>
          <w:p w14:paraId="6592B211"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377,800</w:t>
            </w:r>
          </w:p>
        </w:tc>
        <w:tc>
          <w:tcPr>
            <w:tcW w:w="990" w:type="dxa"/>
            <w:tcBorders>
              <w:top w:val="nil"/>
              <w:left w:val="nil"/>
              <w:bottom w:val="single" w:sz="4" w:space="0" w:color="A5A5A5"/>
              <w:right w:val="single" w:sz="4" w:space="0" w:color="A5A5A5"/>
            </w:tcBorders>
            <w:shd w:val="clear" w:color="auto" w:fill="auto"/>
            <w:noWrap/>
            <w:hideMark/>
          </w:tcPr>
          <w:p w14:paraId="47C62B24"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17%</w:t>
            </w:r>
          </w:p>
        </w:tc>
        <w:tc>
          <w:tcPr>
            <w:tcW w:w="1530" w:type="dxa"/>
            <w:vMerge w:val="restart"/>
            <w:tcBorders>
              <w:top w:val="nil"/>
              <w:left w:val="nil"/>
              <w:right w:val="single" w:sz="4" w:space="0" w:color="A5A5A5"/>
            </w:tcBorders>
            <w:shd w:val="clear" w:color="auto" w:fill="auto"/>
            <w:noWrap/>
            <w:hideMark/>
          </w:tcPr>
          <w:p w14:paraId="7475D98A" w14:textId="6A3D5ABC" w:rsidR="005F7ACB" w:rsidRPr="005F7ACB" w:rsidRDefault="005F7ACB" w:rsidP="005668A6">
            <w:pPr>
              <w:rPr>
                <w:rFonts w:ascii="Cambria" w:eastAsia="Times New Roman" w:hAnsi="Cambria" w:cs="Times New Roman"/>
                <w:color w:val="000000"/>
                <w:kern w:val="0"/>
                <w:sz w:val="20"/>
                <w:szCs w:val="20"/>
                <w14:ligatures w14:val="none"/>
              </w:rPr>
            </w:pPr>
          </w:p>
          <w:p w14:paraId="4B7F79AB" w14:textId="77777777" w:rsidR="005F7ACB" w:rsidRPr="005F7ACB" w:rsidRDefault="005F7ACB" w:rsidP="005668A6">
            <w:pPr>
              <w:rPr>
                <w:rFonts w:ascii="Cambria" w:eastAsia="Times New Roman" w:hAnsi="Cambria" w:cs="Times New Roman"/>
                <w:color w:val="000000"/>
                <w:kern w:val="0"/>
                <w:sz w:val="20"/>
                <w:szCs w:val="20"/>
                <w14:ligatures w14:val="none"/>
              </w:rPr>
            </w:pPr>
          </w:p>
          <w:p w14:paraId="59BD5754" w14:textId="77777777" w:rsidR="005F7ACB" w:rsidRPr="005F7ACB" w:rsidRDefault="005F7ACB" w:rsidP="005668A6">
            <w:pPr>
              <w:rPr>
                <w:rFonts w:ascii="Cambria" w:eastAsia="Times New Roman" w:hAnsi="Cambria" w:cs="Times New Roman"/>
                <w:color w:val="000000"/>
                <w:kern w:val="0"/>
                <w:sz w:val="20"/>
                <w:szCs w:val="20"/>
                <w14:ligatures w14:val="none"/>
              </w:rPr>
            </w:pPr>
          </w:p>
          <w:p w14:paraId="1871CC50" w14:textId="0E5A2A64"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Not known</w:t>
            </w:r>
          </w:p>
        </w:tc>
      </w:tr>
      <w:tr w:rsidR="005F7ACB" w:rsidRPr="005F7ACB" w14:paraId="2227A02E"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2B69898B" w14:textId="22BE9971" w:rsidR="005F7ACB" w:rsidRPr="005F7ACB" w:rsidRDefault="00116652" w:rsidP="005668A6">
            <w:pPr>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March</w:t>
            </w:r>
            <w:r w:rsidR="005F7ACB" w:rsidRPr="005F7ACB">
              <w:rPr>
                <w:rFonts w:ascii="Cambria" w:eastAsia="Times New Roman" w:hAnsi="Cambria" w:cs="Times New Roman"/>
                <w:color w:val="000000"/>
                <w:kern w:val="0"/>
                <w:sz w:val="20"/>
                <w:szCs w:val="20"/>
                <w14:ligatures w14:val="none"/>
              </w:rPr>
              <w:t xml:space="preserve"> 2024</w:t>
            </w:r>
          </w:p>
        </w:tc>
        <w:tc>
          <w:tcPr>
            <w:tcW w:w="1350" w:type="dxa"/>
            <w:vMerge/>
            <w:tcBorders>
              <w:left w:val="nil"/>
              <w:right w:val="single" w:sz="4" w:space="0" w:color="A5A5A5"/>
            </w:tcBorders>
            <w:shd w:val="clear" w:color="auto" w:fill="auto"/>
            <w:noWrap/>
            <w:hideMark/>
          </w:tcPr>
          <w:p w14:paraId="0ACE54D8" w14:textId="7277D4D7" w:rsidR="005F7ACB" w:rsidRPr="00116652" w:rsidRDefault="005F7ACB" w:rsidP="005668A6">
            <w:pPr>
              <w:rPr>
                <w:rFonts w:ascii="Cambria" w:eastAsia="Times New Roman" w:hAnsi="Cambria" w:cs="Times New Roman"/>
                <w:b/>
                <w:bCs/>
                <w:color w:val="000000"/>
                <w:kern w:val="0"/>
                <w:sz w:val="20"/>
                <w:szCs w:val="20"/>
                <w14:ligatures w14:val="none"/>
              </w:rPr>
            </w:pPr>
          </w:p>
        </w:tc>
        <w:tc>
          <w:tcPr>
            <w:tcW w:w="1890" w:type="dxa"/>
            <w:tcBorders>
              <w:top w:val="nil"/>
              <w:left w:val="nil"/>
              <w:bottom w:val="single" w:sz="4" w:space="0" w:color="A5A5A5"/>
              <w:right w:val="single" w:sz="4" w:space="0" w:color="A5A5A5"/>
            </w:tcBorders>
            <w:shd w:val="clear" w:color="auto" w:fill="auto"/>
            <w:noWrap/>
            <w:hideMark/>
          </w:tcPr>
          <w:p w14:paraId="2899908D" w14:textId="6A058B13" w:rsidR="005F7ACB" w:rsidRPr="005F7ACB" w:rsidRDefault="00B2074E" w:rsidP="005668A6">
            <w:pPr>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Northern</w:t>
            </w:r>
          </w:p>
        </w:tc>
        <w:tc>
          <w:tcPr>
            <w:tcW w:w="1980" w:type="dxa"/>
            <w:tcBorders>
              <w:top w:val="nil"/>
              <w:left w:val="nil"/>
              <w:bottom w:val="single" w:sz="4" w:space="0" w:color="A5A5A5"/>
              <w:right w:val="single" w:sz="4" w:space="0" w:color="A5A5A5"/>
            </w:tcBorders>
            <w:shd w:val="clear" w:color="auto" w:fill="auto"/>
            <w:noWrap/>
            <w:hideMark/>
          </w:tcPr>
          <w:p w14:paraId="264B3FE6"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Projection ('imminent famine')</w:t>
            </w:r>
          </w:p>
        </w:tc>
        <w:tc>
          <w:tcPr>
            <w:tcW w:w="1170" w:type="dxa"/>
            <w:tcBorders>
              <w:top w:val="nil"/>
              <w:left w:val="nil"/>
              <w:bottom w:val="single" w:sz="4" w:space="0" w:color="A5A5A5"/>
              <w:right w:val="single" w:sz="4" w:space="0" w:color="A5A5A5"/>
            </w:tcBorders>
            <w:shd w:val="clear" w:color="auto" w:fill="auto"/>
            <w:noWrap/>
            <w:hideMark/>
          </w:tcPr>
          <w:p w14:paraId="2FDF29C1" w14:textId="739B5227" w:rsidR="005F7ACB" w:rsidRPr="005F7ACB" w:rsidRDefault="00EE269E" w:rsidP="005668A6">
            <w:pPr>
              <w:jc w:val="right"/>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875,618</w:t>
            </w:r>
          </w:p>
        </w:tc>
        <w:tc>
          <w:tcPr>
            <w:tcW w:w="990" w:type="dxa"/>
            <w:tcBorders>
              <w:top w:val="nil"/>
              <w:left w:val="nil"/>
              <w:bottom w:val="single" w:sz="4" w:space="0" w:color="A5A5A5"/>
              <w:right w:val="single" w:sz="4" w:space="0" w:color="A5A5A5"/>
            </w:tcBorders>
            <w:shd w:val="clear" w:color="auto" w:fill="auto"/>
            <w:noWrap/>
            <w:hideMark/>
          </w:tcPr>
          <w:p w14:paraId="1F51AABB" w14:textId="5A293BA1" w:rsidR="005F7ACB" w:rsidRPr="005F7ACB" w:rsidRDefault="00EE269E" w:rsidP="005668A6">
            <w:pPr>
              <w:jc w:val="right"/>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39</w:t>
            </w:r>
            <w:r w:rsidR="005F7ACB" w:rsidRPr="005F7ACB">
              <w:rPr>
                <w:rFonts w:ascii="Cambria" w:eastAsia="Times New Roman" w:hAnsi="Cambria" w:cs="Times New Roman"/>
                <w:color w:val="000000"/>
                <w:kern w:val="0"/>
                <w:sz w:val="20"/>
                <w:szCs w:val="20"/>
                <w14:ligatures w14:val="none"/>
              </w:rPr>
              <w:t>%</w:t>
            </w:r>
          </w:p>
        </w:tc>
        <w:tc>
          <w:tcPr>
            <w:tcW w:w="1080" w:type="dxa"/>
            <w:tcBorders>
              <w:top w:val="nil"/>
              <w:left w:val="nil"/>
              <w:bottom w:val="single" w:sz="4" w:space="0" w:color="A5A5A5"/>
              <w:right w:val="single" w:sz="4" w:space="0" w:color="A5A5A5"/>
            </w:tcBorders>
            <w:shd w:val="clear" w:color="auto" w:fill="auto"/>
            <w:noWrap/>
            <w:hideMark/>
          </w:tcPr>
          <w:p w14:paraId="1B0F84B4" w14:textId="1366B726" w:rsidR="005F7ACB" w:rsidRPr="005F7ACB" w:rsidRDefault="00EE269E" w:rsidP="005668A6">
            <w:pPr>
              <w:jc w:val="right"/>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676,636</w:t>
            </w:r>
          </w:p>
        </w:tc>
        <w:tc>
          <w:tcPr>
            <w:tcW w:w="990" w:type="dxa"/>
            <w:tcBorders>
              <w:top w:val="nil"/>
              <w:left w:val="nil"/>
              <w:bottom w:val="single" w:sz="4" w:space="0" w:color="A5A5A5"/>
              <w:right w:val="single" w:sz="4" w:space="0" w:color="A5A5A5"/>
            </w:tcBorders>
            <w:shd w:val="clear" w:color="auto" w:fill="auto"/>
            <w:noWrap/>
            <w:hideMark/>
          </w:tcPr>
          <w:p w14:paraId="3D62ACC8" w14:textId="0D13C3E3" w:rsidR="005F7ACB" w:rsidRPr="005F7ACB" w:rsidRDefault="00EE269E" w:rsidP="005668A6">
            <w:pPr>
              <w:jc w:val="right"/>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30%</w:t>
            </w:r>
          </w:p>
        </w:tc>
        <w:tc>
          <w:tcPr>
            <w:tcW w:w="1530" w:type="dxa"/>
            <w:vMerge/>
            <w:tcBorders>
              <w:left w:val="nil"/>
              <w:right w:val="single" w:sz="4" w:space="0" w:color="A5A5A5"/>
            </w:tcBorders>
            <w:shd w:val="clear" w:color="auto" w:fill="auto"/>
            <w:noWrap/>
            <w:hideMark/>
          </w:tcPr>
          <w:p w14:paraId="0D8B41C3" w14:textId="71A1B807" w:rsidR="005F7ACB" w:rsidRPr="005F7ACB" w:rsidRDefault="005F7ACB" w:rsidP="005668A6">
            <w:pPr>
              <w:rPr>
                <w:rFonts w:ascii="Cambria" w:eastAsia="Times New Roman" w:hAnsi="Cambria" w:cs="Times New Roman"/>
                <w:color w:val="000000"/>
                <w:kern w:val="0"/>
                <w:sz w:val="20"/>
                <w:szCs w:val="20"/>
                <w14:ligatures w14:val="none"/>
              </w:rPr>
            </w:pPr>
          </w:p>
        </w:tc>
      </w:tr>
      <w:tr w:rsidR="005F7ACB" w:rsidRPr="005F7ACB" w14:paraId="273E5233"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641A439D" w14:textId="3922FE20" w:rsidR="005F7ACB" w:rsidRPr="005F7ACB" w:rsidRDefault="00116652" w:rsidP="005668A6">
            <w:pPr>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June</w:t>
            </w:r>
            <w:r w:rsidR="005F7ACB" w:rsidRPr="005F7ACB">
              <w:rPr>
                <w:rFonts w:ascii="Cambria" w:eastAsia="Times New Roman" w:hAnsi="Cambria" w:cs="Times New Roman"/>
                <w:color w:val="000000"/>
                <w:kern w:val="0"/>
                <w:sz w:val="20"/>
                <w:szCs w:val="20"/>
                <w14:ligatures w14:val="none"/>
              </w:rPr>
              <w:t xml:space="preserve"> 2024</w:t>
            </w:r>
          </w:p>
        </w:tc>
        <w:tc>
          <w:tcPr>
            <w:tcW w:w="1350" w:type="dxa"/>
            <w:vMerge/>
            <w:tcBorders>
              <w:left w:val="nil"/>
              <w:bottom w:val="single" w:sz="4" w:space="0" w:color="A5A5A5"/>
              <w:right w:val="single" w:sz="4" w:space="0" w:color="A5A5A5"/>
            </w:tcBorders>
            <w:shd w:val="clear" w:color="auto" w:fill="auto"/>
            <w:noWrap/>
            <w:hideMark/>
          </w:tcPr>
          <w:p w14:paraId="5EA0B76C" w14:textId="1562CBA1" w:rsidR="005F7ACB" w:rsidRPr="00116652" w:rsidRDefault="005F7ACB" w:rsidP="005668A6">
            <w:pPr>
              <w:rPr>
                <w:rFonts w:ascii="Cambria" w:eastAsia="Times New Roman" w:hAnsi="Cambria" w:cs="Times New Roman"/>
                <w:b/>
                <w:bCs/>
                <w:color w:val="000000"/>
                <w:kern w:val="0"/>
                <w:sz w:val="20"/>
                <w:szCs w:val="20"/>
                <w14:ligatures w14:val="none"/>
              </w:rPr>
            </w:pPr>
          </w:p>
        </w:tc>
        <w:tc>
          <w:tcPr>
            <w:tcW w:w="1890" w:type="dxa"/>
            <w:tcBorders>
              <w:top w:val="nil"/>
              <w:left w:val="nil"/>
              <w:bottom w:val="single" w:sz="4" w:space="0" w:color="A5A5A5"/>
              <w:right w:val="single" w:sz="4" w:space="0" w:color="A5A5A5"/>
            </w:tcBorders>
            <w:shd w:val="clear" w:color="auto" w:fill="auto"/>
            <w:noWrap/>
            <w:hideMark/>
          </w:tcPr>
          <w:p w14:paraId="56A99ED2" w14:textId="513C0EC2" w:rsidR="005F7ACB" w:rsidRPr="005F7ACB" w:rsidRDefault="00B2074E" w:rsidP="005668A6">
            <w:pPr>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All Gaz</w:t>
            </w:r>
            <w:r w:rsidR="00116652">
              <w:rPr>
                <w:rFonts w:ascii="Cambria" w:eastAsia="Times New Roman" w:hAnsi="Cambria" w:cs="Times New Roman"/>
                <w:color w:val="000000"/>
                <w:kern w:val="0"/>
                <w:sz w:val="20"/>
                <w:szCs w:val="20"/>
                <w14:ligatures w14:val="none"/>
              </w:rPr>
              <w:t>a</w:t>
            </w:r>
          </w:p>
        </w:tc>
        <w:tc>
          <w:tcPr>
            <w:tcW w:w="1980" w:type="dxa"/>
            <w:tcBorders>
              <w:top w:val="nil"/>
              <w:left w:val="nil"/>
              <w:bottom w:val="single" w:sz="4" w:space="0" w:color="A5A5A5"/>
              <w:right w:val="single" w:sz="4" w:space="0" w:color="A5A5A5"/>
            </w:tcBorders>
            <w:shd w:val="clear" w:color="auto" w:fill="auto"/>
            <w:noWrap/>
            <w:hideMark/>
          </w:tcPr>
          <w:p w14:paraId="443ED068"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Risk of Famine</w:t>
            </w:r>
          </w:p>
        </w:tc>
        <w:tc>
          <w:tcPr>
            <w:tcW w:w="1170" w:type="dxa"/>
            <w:tcBorders>
              <w:top w:val="nil"/>
              <w:left w:val="nil"/>
              <w:bottom w:val="single" w:sz="4" w:space="0" w:color="A5A5A5"/>
              <w:right w:val="single" w:sz="4" w:space="0" w:color="A5A5A5"/>
            </w:tcBorders>
            <w:shd w:val="clear" w:color="auto" w:fill="auto"/>
            <w:noWrap/>
            <w:hideMark/>
          </w:tcPr>
          <w:p w14:paraId="38CDF1C2" w14:textId="47958A7B" w:rsidR="005F7ACB" w:rsidRPr="005F7ACB" w:rsidRDefault="00EE269E" w:rsidP="005668A6">
            <w:pPr>
              <w:jc w:val="right"/>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642,864</w:t>
            </w:r>
          </w:p>
        </w:tc>
        <w:tc>
          <w:tcPr>
            <w:tcW w:w="990" w:type="dxa"/>
            <w:tcBorders>
              <w:top w:val="nil"/>
              <w:left w:val="nil"/>
              <w:bottom w:val="single" w:sz="4" w:space="0" w:color="A5A5A5"/>
              <w:right w:val="single" w:sz="4" w:space="0" w:color="A5A5A5"/>
            </w:tcBorders>
            <w:shd w:val="clear" w:color="auto" w:fill="auto"/>
            <w:noWrap/>
            <w:hideMark/>
          </w:tcPr>
          <w:p w14:paraId="4FC0805C" w14:textId="075D9CF2" w:rsidR="005F7ACB" w:rsidRPr="005F7ACB" w:rsidRDefault="00EE269E" w:rsidP="005668A6">
            <w:pPr>
              <w:jc w:val="right"/>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29</w:t>
            </w:r>
            <w:r w:rsidR="005F7ACB" w:rsidRPr="005F7ACB">
              <w:rPr>
                <w:rFonts w:ascii="Cambria" w:eastAsia="Times New Roman" w:hAnsi="Cambria" w:cs="Times New Roman"/>
                <w:color w:val="000000"/>
                <w:kern w:val="0"/>
                <w:sz w:val="20"/>
                <w:szCs w:val="20"/>
                <w14:ligatures w14:val="none"/>
              </w:rPr>
              <w:t>%</w:t>
            </w:r>
          </w:p>
        </w:tc>
        <w:tc>
          <w:tcPr>
            <w:tcW w:w="1080" w:type="dxa"/>
            <w:tcBorders>
              <w:top w:val="nil"/>
              <w:left w:val="nil"/>
              <w:bottom w:val="single" w:sz="4" w:space="0" w:color="A5A5A5"/>
              <w:right w:val="single" w:sz="4" w:space="0" w:color="A5A5A5"/>
            </w:tcBorders>
            <w:shd w:val="clear" w:color="auto" w:fill="auto"/>
            <w:noWrap/>
            <w:hideMark/>
          </w:tcPr>
          <w:p w14:paraId="27091DF1" w14:textId="2DDB044D" w:rsidR="005F7ACB" w:rsidRPr="005F7ACB" w:rsidRDefault="00EE269E" w:rsidP="005668A6">
            <w:pPr>
              <w:jc w:val="right"/>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342,719</w:t>
            </w:r>
          </w:p>
        </w:tc>
        <w:tc>
          <w:tcPr>
            <w:tcW w:w="990" w:type="dxa"/>
            <w:tcBorders>
              <w:top w:val="nil"/>
              <w:left w:val="nil"/>
              <w:bottom w:val="single" w:sz="4" w:space="0" w:color="A5A5A5"/>
              <w:right w:val="single" w:sz="4" w:space="0" w:color="A5A5A5"/>
            </w:tcBorders>
            <w:shd w:val="clear" w:color="auto" w:fill="auto"/>
            <w:noWrap/>
            <w:hideMark/>
          </w:tcPr>
          <w:p w14:paraId="23CE7C32" w14:textId="25A78A8F" w:rsidR="005F7ACB" w:rsidRPr="005F7ACB" w:rsidRDefault="00EE269E" w:rsidP="005668A6">
            <w:pPr>
              <w:jc w:val="right"/>
              <w:rPr>
                <w:rFonts w:ascii="Cambria" w:eastAsia="Times New Roman" w:hAnsi="Cambria" w:cs="Times New Roman"/>
                <w:color w:val="000000"/>
                <w:kern w:val="0"/>
                <w:sz w:val="20"/>
                <w:szCs w:val="20"/>
                <w14:ligatures w14:val="none"/>
              </w:rPr>
            </w:pPr>
            <w:r>
              <w:rPr>
                <w:rFonts w:ascii="Cambria" w:eastAsia="Times New Roman" w:hAnsi="Cambria" w:cs="Times New Roman"/>
                <w:color w:val="000000"/>
                <w:kern w:val="0"/>
                <w:sz w:val="20"/>
                <w:szCs w:val="20"/>
                <w14:ligatures w14:val="none"/>
              </w:rPr>
              <w:t>15</w:t>
            </w:r>
            <w:r w:rsidR="005F7ACB" w:rsidRPr="005F7ACB">
              <w:rPr>
                <w:rFonts w:ascii="Cambria" w:eastAsia="Times New Roman" w:hAnsi="Cambria" w:cs="Times New Roman"/>
                <w:color w:val="000000"/>
                <w:kern w:val="0"/>
                <w:sz w:val="20"/>
                <w:szCs w:val="20"/>
                <w14:ligatures w14:val="none"/>
              </w:rPr>
              <w:t>%</w:t>
            </w:r>
          </w:p>
        </w:tc>
        <w:tc>
          <w:tcPr>
            <w:tcW w:w="1530" w:type="dxa"/>
            <w:vMerge/>
            <w:tcBorders>
              <w:left w:val="nil"/>
              <w:bottom w:val="single" w:sz="4" w:space="0" w:color="A5A5A5"/>
              <w:right w:val="single" w:sz="4" w:space="0" w:color="A5A5A5"/>
            </w:tcBorders>
            <w:shd w:val="clear" w:color="auto" w:fill="auto"/>
            <w:noWrap/>
            <w:hideMark/>
          </w:tcPr>
          <w:p w14:paraId="437F553E" w14:textId="270D647D" w:rsidR="005F7ACB" w:rsidRPr="005F7ACB" w:rsidRDefault="005F7ACB" w:rsidP="005668A6">
            <w:pPr>
              <w:rPr>
                <w:rFonts w:ascii="Cambria" w:eastAsia="Times New Roman" w:hAnsi="Cambria" w:cs="Times New Roman"/>
                <w:color w:val="000000"/>
                <w:kern w:val="0"/>
                <w:sz w:val="20"/>
                <w:szCs w:val="20"/>
                <w14:ligatures w14:val="none"/>
              </w:rPr>
            </w:pPr>
          </w:p>
        </w:tc>
      </w:tr>
      <w:tr w:rsidR="005F7ACB" w:rsidRPr="005F7ACB" w14:paraId="18918BAE" w14:textId="77777777" w:rsidTr="00EE269E">
        <w:trPr>
          <w:trHeight w:val="400"/>
        </w:trPr>
        <w:tc>
          <w:tcPr>
            <w:tcW w:w="1345" w:type="dxa"/>
            <w:tcBorders>
              <w:top w:val="nil"/>
              <w:left w:val="single" w:sz="4" w:space="0" w:color="3F3F3F"/>
              <w:bottom w:val="single" w:sz="4" w:space="0" w:color="A5A5A5"/>
              <w:right w:val="single" w:sz="4" w:space="0" w:color="A5A5A5"/>
            </w:tcBorders>
            <w:shd w:val="clear" w:color="auto" w:fill="auto"/>
            <w:noWrap/>
            <w:hideMark/>
          </w:tcPr>
          <w:p w14:paraId="1CE43FAD"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July 2024</w:t>
            </w:r>
          </w:p>
        </w:tc>
        <w:tc>
          <w:tcPr>
            <w:tcW w:w="1350" w:type="dxa"/>
            <w:tcBorders>
              <w:top w:val="nil"/>
              <w:left w:val="nil"/>
              <w:bottom w:val="single" w:sz="4" w:space="0" w:color="A5A5A5"/>
              <w:right w:val="single" w:sz="4" w:space="0" w:color="A5A5A5"/>
            </w:tcBorders>
            <w:shd w:val="clear" w:color="auto" w:fill="auto"/>
            <w:noWrap/>
            <w:hideMark/>
          </w:tcPr>
          <w:p w14:paraId="7B6B9ED2" w14:textId="77777777" w:rsidR="005F7ACB" w:rsidRPr="00116652" w:rsidRDefault="005F7ACB" w:rsidP="005668A6">
            <w:pPr>
              <w:rPr>
                <w:rFonts w:ascii="Cambria" w:eastAsia="Times New Roman" w:hAnsi="Cambria" w:cs="Times New Roman"/>
                <w:b/>
                <w:bCs/>
                <w:color w:val="000000"/>
                <w:kern w:val="0"/>
                <w:sz w:val="20"/>
                <w:szCs w:val="20"/>
                <w14:ligatures w14:val="none"/>
              </w:rPr>
            </w:pPr>
            <w:r w:rsidRPr="00116652">
              <w:rPr>
                <w:rFonts w:ascii="Cambria" w:eastAsia="Times New Roman" w:hAnsi="Cambria" w:cs="Times New Roman"/>
                <w:b/>
                <w:bCs/>
                <w:color w:val="000000"/>
                <w:kern w:val="0"/>
                <w:sz w:val="20"/>
                <w:szCs w:val="20"/>
                <w14:ligatures w14:val="none"/>
              </w:rPr>
              <w:t>Sudan</w:t>
            </w:r>
          </w:p>
        </w:tc>
        <w:tc>
          <w:tcPr>
            <w:tcW w:w="1890" w:type="dxa"/>
            <w:tcBorders>
              <w:top w:val="nil"/>
              <w:left w:val="nil"/>
              <w:bottom w:val="single" w:sz="4" w:space="0" w:color="A5A5A5"/>
              <w:right w:val="single" w:sz="4" w:space="0" w:color="A5A5A5"/>
            </w:tcBorders>
            <w:shd w:val="clear" w:color="auto" w:fill="auto"/>
            <w:noWrap/>
            <w:hideMark/>
          </w:tcPr>
          <w:p w14:paraId="6AB8C95C" w14:textId="7777777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Darfur</w:t>
            </w:r>
          </w:p>
        </w:tc>
        <w:tc>
          <w:tcPr>
            <w:tcW w:w="1980" w:type="dxa"/>
            <w:tcBorders>
              <w:top w:val="nil"/>
              <w:left w:val="nil"/>
              <w:bottom w:val="single" w:sz="4" w:space="0" w:color="A5A5A5"/>
              <w:right w:val="single" w:sz="4" w:space="0" w:color="A5A5A5"/>
            </w:tcBorders>
            <w:shd w:val="clear" w:color="auto" w:fill="auto"/>
            <w:noWrap/>
            <w:hideMark/>
          </w:tcPr>
          <w:p w14:paraId="4E11BDFD" w14:textId="77777777" w:rsidR="005F7ACB" w:rsidRPr="005F7ACB" w:rsidRDefault="005F7ACB" w:rsidP="005668A6">
            <w:pPr>
              <w:rPr>
                <w:rFonts w:ascii="Cambria" w:eastAsia="Times New Roman" w:hAnsi="Cambria" w:cs="Times New Roman"/>
                <w:color w:val="000000"/>
                <w:kern w:val="0"/>
                <w:sz w:val="20"/>
                <w:szCs w:val="20"/>
                <w14:ligatures w14:val="none"/>
              </w:rPr>
            </w:pPr>
            <w:r w:rsidRPr="00B2074E">
              <w:rPr>
                <w:rFonts w:ascii="Cambria" w:eastAsia="Times New Roman" w:hAnsi="Cambria" w:cs="Times New Roman"/>
                <w:b/>
                <w:bCs/>
                <w:color w:val="000000"/>
                <w:kern w:val="0"/>
                <w:sz w:val="20"/>
                <w:szCs w:val="20"/>
                <w14:ligatures w14:val="none"/>
              </w:rPr>
              <w:t>Famine</w:t>
            </w:r>
            <w:r w:rsidRPr="005F7ACB">
              <w:rPr>
                <w:rFonts w:ascii="Cambria" w:eastAsia="Times New Roman" w:hAnsi="Cambria" w:cs="Times New Roman"/>
                <w:color w:val="000000"/>
                <w:kern w:val="0"/>
                <w:sz w:val="20"/>
                <w:szCs w:val="20"/>
                <w14:ligatures w14:val="none"/>
              </w:rPr>
              <w:t xml:space="preserve"> with reasonable evidence</w:t>
            </w:r>
          </w:p>
        </w:tc>
        <w:tc>
          <w:tcPr>
            <w:tcW w:w="1170" w:type="dxa"/>
            <w:tcBorders>
              <w:top w:val="nil"/>
              <w:left w:val="nil"/>
              <w:bottom w:val="single" w:sz="4" w:space="0" w:color="A5A5A5"/>
              <w:right w:val="single" w:sz="4" w:space="0" w:color="A5A5A5"/>
            </w:tcBorders>
            <w:shd w:val="clear" w:color="auto" w:fill="auto"/>
            <w:noWrap/>
            <w:hideMark/>
          </w:tcPr>
          <w:p w14:paraId="19B27E83"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8,500,000</w:t>
            </w:r>
          </w:p>
        </w:tc>
        <w:tc>
          <w:tcPr>
            <w:tcW w:w="990" w:type="dxa"/>
            <w:tcBorders>
              <w:top w:val="nil"/>
              <w:left w:val="nil"/>
              <w:bottom w:val="single" w:sz="4" w:space="0" w:color="A5A5A5"/>
              <w:right w:val="single" w:sz="4" w:space="0" w:color="A5A5A5"/>
            </w:tcBorders>
            <w:shd w:val="clear" w:color="auto" w:fill="auto"/>
            <w:noWrap/>
            <w:hideMark/>
          </w:tcPr>
          <w:p w14:paraId="6FAC14C5"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18%</w:t>
            </w:r>
          </w:p>
        </w:tc>
        <w:tc>
          <w:tcPr>
            <w:tcW w:w="1080" w:type="dxa"/>
            <w:tcBorders>
              <w:top w:val="nil"/>
              <w:left w:val="nil"/>
              <w:bottom w:val="single" w:sz="4" w:space="0" w:color="A5A5A5"/>
              <w:right w:val="single" w:sz="4" w:space="0" w:color="A5A5A5"/>
            </w:tcBorders>
            <w:shd w:val="clear" w:color="auto" w:fill="auto"/>
            <w:noWrap/>
            <w:hideMark/>
          </w:tcPr>
          <w:p w14:paraId="37A5B7B6"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755,000</w:t>
            </w:r>
          </w:p>
        </w:tc>
        <w:tc>
          <w:tcPr>
            <w:tcW w:w="990" w:type="dxa"/>
            <w:tcBorders>
              <w:top w:val="nil"/>
              <w:left w:val="nil"/>
              <w:bottom w:val="single" w:sz="4" w:space="0" w:color="A5A5A5"/>
              <w:right w:val="single" w:sz="4" w:space="0" w:color="A5A5A5"/>
            </w:tcBorders>
            <w:shd w:val="clear" w:color="auto" w:fill="auto"/>
            <w:noWrap/>
            <w:hideMark/>
          </w:tcPr>
          <w:p w14:paraId="6B859B67" w14:textId="77777777" w:rsidR="005F7ACB" w:rsidRPr="005F7ACB" w:rsidRDefault="005F7ACB" w:rsidP="005668A6">
            <w:pPr>
              <w:jc w:val="right"/>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1.60%</w:t>
            </w:r>
          </w:p>
        </w:tc>
        <w:tc>
          <w:tcPr>
            <w:tcW w:w="1530" w:type="dxa"/>
            <w:tcBorders>
              <w:top w:val="nil"/>
              <w:left w:val="nil"/>
              <w:bottom w:val="single" w:sz="4" w:space="0" w:color="A5A5A5"/>
              <w:right w:val="single" w:sz="4" w:space="0" w:color="A5A5A5"/>
            </w:tcBorders>
            <w:shd w:val="clear" w:color="auto" w:fill="auto"/>
            <w:noWrap/>
            <w:hideMark/>
          </w:tcPr>
          <w:p w14:paraId="7FA7B9E5" w14:textId="11529CA7" w:rsidR="005F7ACB" w:rsidRPr="005F7ACB" w:rsidRDefault="005F7ACB" w:rsidP="005668A6">
            <w:pPr>
              <w:rPr>
                <w:rFonts w:ascii="Cambria" w:eastAsia="Times New Roman" w:hAnsi="Cambria" w:cs="Times New Roman"/>
                <w:color w:val="000000"/>
                <w:kern w:val="0"/>
                <w:sz w:val="20"/>
                <w:szCs w:val="20"/>
                <w14:ligatures w14:val="none"/>
              </w:rPr>
            </w:pPr>
            <w:r w:rsidRPr="005F7ACB">
              <w:rPr>
                <w:rFonts w:ascii="Cambria" w:eastAsia="Times New Roman" w:hAnsi="Cambria" w:cs="Times New Roman"/>
                <w:color w:val="000000"/>
                <w:kern w:val="0"/>
                <w:sz w:val="20"/>
                <w:szCs w:val="20"/>
                <w14:ligatures w14:val="none"/>
              </w:rPr>
              <w:t>Not known</w:t>
            </w:r>
          </w:p>
        </w:tc>
      </w:tr>
    </w:tbl>
    <w:p w14:paraId="734C570B" w14:textId="77777777" w:rsidR="00B2074E" w:rsidRDefault="00B2074E">
      <w:pPr>
        <w:rPr>
          <w:rFonts w:ascii="Cambria" w:hAnsi="Cambria"/>
        </w:rPr>
      </w:pPr>
    </w:p>
    <w:p w14:paraId="5AD3F6DD" w14:textId="6820E001" w:rsidR="00B2074E" w:rsidRPr="00B2074E" w:rsidRDefault="00B2074E">
      <w:pPr>
        <w:rPr>
          <w:rFonts w:ascii="Cambria" w:hAnsi="Cambria"/>
          <w:b/>
          <w:bCs/>
        </w:rPr>
      </w:pPr>
      <w:r w:rsidRPr="00B2074E">
        <w:rPr>
          <w:rFonts w:ascii="Cambria" w:hAnsi="Cambria"/>
          <w:b/>
          <w:bCs/>
        </w:rPr>
        <w:t xml:space="preserve">Sources for IPC figures </w:t>
      </w:r>
    </w:p>
    <w:p w14:paraId="690714A5" w14:textId="77777777" w:rsidR="00B2074E" w:rsidRDefault="00B2074E">
      <w:pPr>
        <w:rPr>
          <w:rFonts w:ascii="Cambria" w:hAnsi="Cambria"/>
        </w:rPr>
      </w:pPr>
    </w:p>
    <w:p w14:paraId="3BC020E6" w14:textId="57B22A21" w:rsidR="005668A6" w:rsidRPr="00B2074E" w:rsidRDefault="00B2074E">
      <w:pPr>
        <w:rPr>
          <w:rFonts w:ascii="Cambria" w:hAnsi="Cambria"/>
          <w:sz w:val="22"/>
          <w:szCs w:val="22"/>
        </w:rPr>
      </w:pPr>
      <w:r w:rsidRPr="00B2074E">
        <w:rPr>
          <w:rFonts w:ascii="Cambria" w:hAnsi="Cambria"/>
          <w:sz w:val="22"/>
          <w:szCs w:val="22"/>
        </w:rPr>
        <w:t xml:space="preserve">IPC Population Tracking Tool, </w:t>
      </w:r>
      <w:hyperlink r:id="rId4" w:history="1">
        <w:r w:rsidRPr="00B2074E">
          <w:rPr>
            <w:rStyle w:val="Hyperlink"/>
            <w:rFonts w:ascii="Cambria" w:hAnsi="Cambria"/>
            <w:sz w:val="22"/>
            <w:szCs w:val="22"/>
          </w:rPr>
          <w:t>https://www.ipcinfo.org/ipc-country-analysis/population-tracking-tool/en/</w:t>
        </w:r>
      </w:hyperlink>
    </w:p>
    <w:p w14:paraId="1553735C" w14:textId="77777777" w:rsidR="00B2074E" w:rsidRDefault="00B2074E" w:rsidP="00B2074E">
      <w:pPr>
        <w:rPr>
          <w:rFonts w:ascii="Cambria" w:hAnsi="Cambria"/>
        </w:rPr>
      </w:pPr>
    </w:p>
    <w:p w14:paraId="2D258363" w14:textId="67FAA331" w:rsidR="00B2074E" w:rsidRPr="00B2074E" w:rsidRDefault="00B2074E" w:rsidP="00B2074E">
      <w:pPr>
        <w:rPr>
          <w:rFonts w:ascii="Cambria" w:hAnsi="Cambria"/>
          <w:sz w:val="22"/>
          <w:szCs w:val="22"/>
        </w:rPr>
      </w:pPr>
      <w:r w:rsidRPr="00B2074E">
        <w:rPr>
          <w:rFonts w:ascii="Cambria" w:hAnsi="Cambria"/>
          <w:sz w:val="22"/>
          <w:szCs w:val="22"/>
        </w:rPr>
        <w:t xml:space="preserve">Food Security and Nutrition Analysis Unit – Somalia, ‘FSNAU Technical Series Report No VI. 46: Food Security and Nutrition Analysis Post Gu 2011,’ </w:t>
      </w:r>
      <w:hyperlink r:id="rId5" w:history="1">
        <w:r w:rsidRPr="00B2074E">
          <w:rPr>
            <w:rStyle w:val="Hyperlink"/>
            <w:rFonts w:ascii="Cambria" w:hAnsi="Cambria"/>
            <w:sz w:val="22"/>
            <w:szCs w:val="22"/>
          </w:rPr>
          <w:t>https://reliefweb.int/report/somalia/fsnau-technical-series-report-no-vi-46-food-security-and-nutrition-analysis-post-gu</w:t>
        </w:r>
      </w:hyperlink>
      <w:r w:rsidRPr="00B2074E">
        <w:rPr>
          <w:rFonts w:ascii="Cambria" w:hAnsi="Cambria"/>
          <w:sz w:val="22"/>
          <w:szCs w:val="22"/>
        </w:rPr>
        <w:t xml:space="preserve"> </w:t>
      </w:r>
    </w:p>
    <w:p w14:paraId="0F7401BF" w14:textId="77777777" w:rsidR="00B2074E" w:rsidRPr="00116652" w:rsidRDefault="00B2074E">
      <w:pPr>
        <w:rPr>
          <w:rFonts w:ascii="Cambria" w:hAnsi="Cambria"/>
          <w:sz w:val="22"/>
          <w:szCs w:val="22"/>
        </w:rPr>
      </w:pPr>
    </w:p>
    <w:p w14:paraId="42360F37" w14:textId="5B71D466" w:rsidR="00116652" w:rsidRPr="00116652" w:rsidRDefault="00116652">
      <w:pPr>
        <w:rPr>
          <w:rFonts w:ascii="Cambria" w:hAnsi="Cambria"/>
          <w:sz w:val="22"/>
          <w:szCs w:val="22"/>
        </w:rPr>
      </w:pPr>
      <w:r w:rsidRPr="00116652">
        <w:rPr>
          <w:rFonts w:ascii="Cambria" w:hAnsi="Cambria"/>
          <w:sz w:val="22"/>
          <w:szCs w:val="22"/>
        </w:rPr>
        <w:t xml:space="preserve">Note that the IPC FRC also conducted a </w:t>
      </w:r>
      <w:r w:rsidR="007B2A9B">
        <w:rPr>
          <w:rFonts w:ascii="Cambria" w:hAnsi="Cambria"/>
          <w:sz w:val="22"/>
          <w:szCs w:val="22"/>
        </w:rPr>
        <w:t>‘</w:t>
      </w:r>
      <w:r w:rsidRPr="00116652">
        <w:rPr>
          <w:rFonts w:ascii="Cambria" w:hAnsi="Cambria"/>
          <w:sz w:val="22"/>
          <w:szCs w:val="22"/>
        </w:rPr>
        <w:t>Review of the Famine Early Warning Systems Network (FEWS NET) IPC-Compatible Analysis for the Northern Governorates of the Gaza</w:t>
      </w:r>
      <w:r w:rsidR="007B2A9B">
        <w:rPr>
          <w:rFonts w:ascii="Cambria" w:hAnsi="Cambria"/>
          <w:sz w:val="22"/>
          <w:szCs w:val="22"/>
        </w:rPr>
        <w:t>’</w:t>
      </w:r>
      <w:r w:rsidRPr="00116652">
        <w:rPr>
          <w:rFonts w:ascii="Cambria" w:hAnsi="Cambria"/>
          <w:sz w:val="22"/>
          <w:szCs w:val="22"/>
        </w:rPr>
        <w:t xml:space="preserve"> in May 2024, which found that </w:t>
      </w:r>
      <w:r>
        <w:rPr>
          <w:rFonts w:ascii="Cambria" w:hAnsi="Cambria"/>
          <w:sz w:val="22"/>
          <w:szCs w:val="22"/>
        </w:rPr>
        <w:t>‘</w:t>
      </w:r>
      <w:r w:rsidRPr="00116652">
        <w:rPr>
          <w:rFonts w:ascii="Cambria" w:hAnsi="Cambria"/>
          <w:sz w:val="22"/>
          <w:szCs w:val="22"/>
        </w:rPr>
        <w:t>The FRC does not find the FEWS NET analysis plausible given the uncertainty and lack of convergence of the supporting evidence employed in the analysis. Therefore, the FRC is unable to make a determination as to whether or not famine thresholds have been passed</w:t>
      </w:r>
      <w:r>
        <w:rPr>
          <w:rFonts w:ascii="Cambria" w:hAnsi="Cambria"/>
          <w:sz w:val="22"/>
          <w:szCs w:val="22"/>
        </w:rPr>
        <w:t>.’ The IPC May data became available in June, resulting in the ‘risk of famine’ finding.</w:t>
      </w:r>
    </w:p>
    <w:p w14:paraId="282C3E54" w14:textId="77777777" w:rsidR="00116652" w:rsidRDefault="00116652">
      <w:pPr>
        <w:rPr>
          <w:rFonts w:ascii="Cambria" w:hAnsi="Cambria"/>
        </w:rPr>
      </w:pPr>
    </w:p>
    <w:p w14:paraId="3B4CE51D" w14:textId="45EBA288" w:rsidR="006B73E9" w:rsidRPr="00B2074E" w:rsidRDefault="006B73E9">
      <w:pPr>
        <w:rPr>
          <w:rFonts w:ascii="Cambria" w:hAnsi="Cambria"/>
          <w:b/>
          <w:bCs/>
        </w:rPr>
      </w:pPr>
      <w:r w:rsidRPr="00B2074E">
        <w:rPr>
          <w:rFonts w:ascii="Cambria" w:hAnsi="Cambria"/>
          <w:b/>
          <w:bCs/>
        </w:rPr>
        <w:t>Sources for aggregate mortality estimates:</w:t>
      </w:r>
    </w:p>
    <w:p w14:paraId="5170DB13" w14:textId="77777777" w:rsidR="006B73E9" w:rsidRPr="006B73E9" w:rsidRDefault="006B73E9" w:rsidP="006B73E9">
      <w:pPr>
        <w:spacing w:line="276" w:lineRule="auto"/>
        <w:rPr>
          <w:rFonts w:ascii="Cambria" w:hAnsi="Cambria"/>
          <w:sz w:val="21"/>
          <w:szCs w:val="21"/>
        </w:rPr>
      </w:pPr>
    </w:p>
    <w:p w14:paraId="7F2ADCB0" w14:textId="77777777" w:rsidR="006B73E9" w:rsidRPr="006B73E9" w:rsidRDefault="006B73E9" w:rsidP="006B73E9">
      <w:pPr>
        <w:spacing w:line="276" w:lineRule="auto"/>
        <w:rPr>
          <w:rFonts w:ascii="Cambria" w:hAnsi="Cambria"/>
          <w:b/>
          <w:bCs/>
          <w:sz w:val="21"/>
          <w:szCs w:val="21"/>
        </w:rPr>
      </w:pPr>
      <w:r w:rsidRPr="006B73E9">
        <w:rPr>
          <w:rFonts w:ascii="Cambria" w:hAnsi="Cambria"/>
          <w:b/>
          <w:bCs/>
          <w:sz w:val="21"/>
          <w:szCs w:val="21"/>
        </w:rPr>
        <w:t>Somalia 2011</w:t>
      </w:r>
    </w:p>
    <w:p w14:paraId="2A615655" w14:textId="77777777" w:rsidR="006B73E9" w:rsidRPr="006B73E9" w:rsidRDefault="006B73E9" w:rsidP="006B73E9">
      <w:pPr>
        <w:spacing w:line="276" w:lineRule="auto"/>
        <w:rPr>
          <w:rFonts w:ascii="Cambria" w:hAnsi="Cambria"/>
          <w:sz w:val="21"/>
          <w:szCs w:val="21"/>
        </w:rPr>
      </w:pPr>
      <w:r w:rsidRPr="006B73E9">
        <w:rPr>
          <w:rFonts w:ascii="Cambria" w:hAnsi="Cambria"/>
          <w:sz w:val="21"/>
          <w:szCs w:val="21"/>
        </w:rPr>
        <w:t xml:space="preserve">Checchi, Francesco, and W. Courtland, ‘Study Report: Mortality among populations of southern and central Somalia affected by severe food insecurity and famine during 2010-2012.’ Rome, FAO, 2013. </w:t>
      </w:r>
      <w:hyperlink r:id="rId6" w:history="1">
        <w:r w:rsidRPr="006B73E9">
          <w:rPr>
            <w:rStyle w:val="Hyperlink"/>
            <w:rFonts w:ascii="Cambria" w:hAnsi="Cambria"/>
            <w:sz w:val="21"/>
            <w:szCs w:val="21"/>
          </w:rPr>
          <w:t>https://reliefweb.int/report/somalia/mortality-among-populations-southern-and-central-somalia-affected-severe-food</w:t>
        </w:r>
      </w:hyperlink>
    </w:p>
    <w:p w14:paraId="4E0CDDC5" w14:textId="77777777" w:rsidR="006B73E9" w:rsidRPr="006B73E9" w:rsidRDefault="006B73E9" w:rsidP="006B73E9">
      <w:pPr>
        <w:spacing w:line="276" w:lineRule="auto"/>
        <w:rPr>
          <w:rFonts w:ascii="Cambria" w:hAnsi="Cambria"/>
          <w:sz w:val="21"/>
          <w:szCs w:val="21"/>
        </w:rPr>
      </w:pPr>
    </w:p>
    <w:p w14:paraId="5EA4AE79" w14:textId="77777777" w:rsidR="006B73E9" w:rsidRPr="006B73E9" w:rsidRDefault="006B73E9" w:rsidP="006B73E9">
      <w:pPr>
        <w:spacing w:line="276" w:lineRule="auto"/>
        <w:rPr>
          <w:rFonts w:ascii="Cambria" w:hAnsi="Cambria"/>
          <w:b/>
          <w:bCs/>
          <w:sz w:val="21"/>
          <w:szCs w:val="21"/>
        </w:rPr>
      </w:pPr>
      <w:r w:rsidRPr="006B73E9">
        <w:rPr>
          <w:rFonts w:ascii="Cambria" w:hAnsi="Cambria"/>
          <w:b/>
          <w:bCs/>
          <w:sz w:val="21"/>
          <w:szCs w:val="21"/>
        </w:rPr>
        <w:t>Somalia 2016-2017</w:t>
      </w:r>
    </w:p>
    <w:p w14:paraId="6EC644FA" w14:textId="1621C193" w:rsidR="006B73E9" w:rsidRPr="006B73E9" w:rsidRDefault="006B73E9" w:rsidP="006B73E9">
      <w:pPr>
        <w:spacing w:line="276" w:lineRule="auto"/>
        <w:rPr>
          <w:rFonts w:ascii="Cambria" w:hAnsi="Cambria"/>
          <w:sz w:val="21"/>
          <w:szCs w:val="21"/>
        </w:rPr>
      </w:pPr>
      <w:r w:rsidRPr="006B73E9">
        <w:rPr>
          <w:rFonts w:ascii="Cambria" w:hAnsi="Cambria"/>
          <w:sz w:val="21"/>
          <w:szCs w:val="21"/>
        </w:rPr>
        <w:t>Warsame, A., S. Frison, and F. Checchi</w:t>
      </w:r>
      <w:r w:rsidR="00B2074E">
        <w:rPr>
          <w:rFonts w:ascii="Cambria" w:hAnsi="Cambria"/>
          <w:sz w:val="21"/>
          <w:szCs w:val="21"/>
        </w:rPr>
        <w:t>,</w:t>
      </w:r>
      <w:r w:rsidRPr="006B73E9">
        <w:rPr>
          <w:rFonts w:ascii="Cambria" w:hAnsi="Cambria"/>
          <w:sz w:val="21"/>
          <w:szCs w:val="21"/>
        </w:rPr>
        <w:t xml:space="preserve"> ‘Drought, armed conflict and population mortality in Somalia, 2014–2018: A statistical analysis.’ </w:t>
      </w:r>
      <w:r w:rsidRPr="006B73E9">
        <w:rPr>
          <w:rFonts w:ascii="Cambria" w:hAnsi="Cambria"/>
          <w:i/>
          <w:iCs/>
          <w:sz w:val="21"/>
          <w:szCs w:val="21"/>
        </w:rPr>
        <w:t>PLOS Global Public Health</w:t>
      </w:r>
      <w:r w:rsidRPr="006B73E9">
        <w:rPr>
          <w:rFonts w:ascii="Cambria" w:hAnsi="Cambria"/>
          <w:sz w:val="21"/>
          <w:szCs w:val="21"/>
        </w:rPr>
        <w:t xml:space="preserve"> 3.4</w:t>
      </w:r>
      <w:r w:rsidR="00B2074E">
        <w:rPr>
          <w:rFonts w:ascii="Cambria" w:hAnsi="Cambria"/>
          <w:sz w:val="21"/>
          <w:szCs w:val="21"/>
        </w:rPr>
        <w:t xml:space="preserve"> (2023)</w:t>
      </w:r>
      <w:r w:rsidRPr="006B73E9">
        <w:rPr>
          <w:rFonts w:ascii="Cambria" w:hAnsi="Cambria"/>
          <w:sz w:val="21"/>
          <w:szCs w:val="21"/>
        </w:rPr>
        <w:t>: e0001136.</w:t>
      </w:r>
    </w:p>
    <w:p w14:paraId="0BD3260F" w14:textId="77777777" w:rsidR="006B73E9" w:rsidRPr="006B73E9" w:rsidRDefault="006B73E9" w:rsidP="006B73E9">
      <w:pPr>
        <w:spacing w:line="276" w:lineRule="auto"/>
        <w:rPr>
          <w:rFonts w:ascii="Cambria" w:hAnsi="Cambria"/>
          <w:sz w:val="21"/>
          <w:szCs w:val="21"/>
        </w:rPr>
      </w:pPr>
    </w:p>
    <w:p w14:paraId="3E67C87E" w14:textId="77777777" w:rsidR="006B73E9" w:rsidRPr="006B73E9" w:rsidRDefault="006B73E9" w:rsidP="006B73E9">
      <w:pPr>
        <w:spacing w:line="276" w:lineRule="auto"/>
        <w:rPr>
          <w:rFonts w:ascii="Cambria" w:hAnsi="Cambria"/>
          <w:b/>
          <w:bCs/>
          <w:sz w:val="21"/>
          <w:szCs w:val="21"/>
        </w:rPr>
      </w:pPr>
      <w:r w:rsidRPr="006B73E9">
        <w:rPr>
          <w:rFonts w:ascii="Cambria" w:hAnsi="Cambria"/>
          <w:b/>
          <w:bCs/>
          <w:sz w:val="21"/>
          <w:szCs w:val="21"/>
        </w:rPr>
        <w:t>Somalia 2022</w:t>
      </w:r>
    </w:p>
    <w:p w14:paraId="2E8368B5" w14:textId="45947F67" w:rsidR="006B73E9" w:rsidRPr="006B73E9" w:rsidRDefault="006B73E9" w:rsidP="006B73E9">
      <w:pPr>
        <w:spacing w:line="276" w:lineRule="auto"/>
        <w:rPr>
          <w:rFonts w:ascii="Cambria" w:hAnsi="Cambria"/>
          <w:sz w:val="21"/>
          <w:szCs w:val="21"/>
        </w:rPr>
      </w:pPr>
      <w:r w:rsidRPr="006B73E9">
        <w:rPr>
          <w:rFonts w:ascii="Cambria" w:hAnsi="Cambria"/>
          <w:sz w:val="21"/>
          <w:szCs w:val="21"/>
        </w:rPr>
        <w:lastRenderedPageBreak/>
        <w:t>Watson, O., and F. Checchi, et al., “Mortality patterns in Somalia: retrospective estimates and scenario-based forecasting.” London School of Hygiene and Tropical Medicine, February</w:t>
      </w:r>
      <w:r w:rsidR="00B2074E">
        <w:rPr>
          <w:rFonts w:ascii="Cambria" w:hAnsi="Cambria"/>
          <w:sz w:val="21"/>
          <w:szCs w:val="21"/>
        </w:rPr>
        <w:t xml:space="preserve"> 2023</w:t>
      </w:r>
      <w:r w:rsidRPr="006B73E9">
        <w:rPr>
          <w:rFonts w:ascii="Cambria" w:hAnsi="Cambria"/>
          <w:sz w:val="21"/>
          <w:szCs w:val="21"/>
        </w:rPr>
        <w:t>.</w:t>
      </w:r>
    </w:p>
    <w:p w14:paraId="095FCCB6" w14:textId="77777777" w:rsidR="006B73E9" w:rsidRDefault="006B73E9" w:rsidP="006B73E9">
      <w:pPr>
        <w:spacing w:line="276" w:lineRule="auto"/>
        <w:rPr>
          <w:rFonts w:ascii="Cambria" w:hAnsi="Cambria"/>
          <w:sz w:val="21"/>
          <w:szCs w:val="21"/>
        </w:rPr>
      </w:pPr>
    </w:p>
    <w:p w14:paraId="3CEE2837" w14:textId="77777777" w:rsidR="00DE0923" w:rsidRDefault="00DE0923" w:rsidP="006B73E9">
      <w:pPr>
        <w:spacing w:line="276" w:lineRule="auto"/>
        <w:rPr>
          <w:rFonts w:ascii="Cambria" w:hAnsi="Cambria"/>
          <w:sz w:val="21"/>
          <w:szCs w:val="21"/>
        </w:rPr>
      </w:pPr>
    </w:p>
    <w:p w14:paraId="16A822BF" w14:textId="77777777" w:rsidR="00DE0923" w:rsidRDefault="00DE0923" w:rsidP="006B73E9">
      <w:pPr>
        <w:spacing w:line="276" w:lineRule="auto"/>
        <w:rPr>
          <w:rFonts w:ascii="Cambria" w:hAnsi="Cambria"/>
          <w:sz w:val="21"/>
          <w:szCs w:val="21"/>
        </w:rPr>
      </w:pPr>
    </w:p>
    <w:p w14:paraId="4D82FC12" w14:textId="77777777" w:rsidR="006B73E9" w:rsidRPr="006B73E9" w:rsidRDefault="006B73E9" w:rsidP="006B73E9">
      <w:pPr>
        <w:spacing w:line="276" w:lineRule="auto"/>
        <w:rPr>
          <w:rFonts w:ascii="Cambria" w:hAnsi="Cambria"/>
          <w:b/>
          <w:bCs/>
          <w:sz w:val="21"/>
          <w:szCs w:val="21"/>
        </w:rPr>
      </w:pPr>
      <w:r w:rsidRPr="006B73E9">
        <w:rPr>
          <w:rFonts w:ascii="Cambria" w:hAnsi="Cambria"/>
          <w:b/>
          <w:bCs/>
          <w:sz w:val="21"/>
          <w:szCs w:val="21"/>
        </w:rPr>
        <w:t>South Sudan 2014-2018</w:t>
      </w:r>
    </w:p>
    <w:p w14:paraId="350D1DEC" w14:textId="77777777" w:rsidR="006B73E9" w:rsidRPr="006B73E9" w:rsidRDefault="006B73E9" w:rsidP="006B73E9">
      <w:pPr>
        <w:spacing w:line="276" w:lineRule="auto"/>
        <w:rPr>
          <w:rFonts w:ascii="Cambria" w:hAnsi="Cambria"/>
          <w:sz w:val="21"/>
          <w:szCs w:val="21"/>
        </w:rPr>
      </w:pPr>
      <w:r w:rsidRPr="006B73E9">
        <w:rPr>
          <w:rFonts w:ascii="Cambria" w:hAnsi="Cambria"/>
          <w:sz w:val="21"/>
          <w:szCs w:val="21"/>
        </w:rPr>
        <w:t>Checchi, F., A. Testa, A. Warsame, L. Quach and R. Burns, ‘Estimates of crisis-attributable mortality in South Sudan, December 2013-April 2018: A statistical analysis,’ London School of Hygiene and Tropical Medicine, 2019.</w:t>
      </w:r>
    </w:p>
    <w:p w14:paraId="2071EC4D" w14:textId="77777777" w:rsidR="006B73E9" w:rsidRPr="006B73E9" w:rsidRDefault="006B73E9" w:rsidP="006B73E9">
      <w:pPr>
        <w:spacing w:line="276" w:lineRule="auto"/>
        <w:rPr>
          <w:rFonts w:ascii="Cambria" w:hAnsi="Cambria"/>
          <w:sz w:val="21"/>
          <w:szCs w:val="21"/>
        </w:rPr>
      </w:pPr>
    </w:p>
    <w:p w14:paraId="3B3D2375" w14:textId="77777777" w:rsidR="006B73E9" w:rsidRPr="006B73E9" w:rsidRDefault="006B73E9" w:rsidP="006B73E9">
      <w:pPr>
        <w:spacing w:line="276" w:lineRule="auto"/>
        <w:rPr>
          <w:rFonts w:ascii="Cambria" w:hAnsi="Cambria"/>
          <w:b/>
          <w:bCs/>
          <w:sz w:val="21"/>
          <w:szCs w:val="21"/>
        </w:rPr>
      </w:pPr>
      <w:r w:rsidRPr="006B73E9">
        <w:rPr>
          <w:rFonts w:ascii="Cambria" w:hAnsi="Cambria"/>
          <w:b/>
          <w:bCs/>
          <w:sz w:val="21"/>
          <w:szCs w:val="21"/>
        </w:rPr>
        <w:t>Nigeria 2016-2018</w:t>
      </w:r>
    </w:p>
    <w:p w14:paraId="338618F6" w14:textId="6141E5EE" w:rsidR="006B73E9" w:rsidRPr="006B73E9" w:rsidRDefault="006B73E9" w:rsidP="006B73E9">
      <w:pPr>
        <w:spacing w:line="276" w:lineRule="auto"/>
        <w:rPr>
          <w:rFonts w:ascii="Cambria" w:hAnsi="Cambria"/>
          <w:sz w:val="21"/>
          <w:szCs w:val="21"/>
        </w:rPr>
      </w:pPr>
      <w:r w:rsidRPr="006B73E9">
        <w:rPr>
          <w:rFonts w:ascii="Cambria" w:hAnsi="Cambria"/>
          <w:sz w:val="21"/>
          <w:szCs w:val="21"/>
        </w:rPr>
        <w:t xml:space="preserve">Chechhi, F, et al. ‘Mortality among populations affected by armed conflict in northeast Nigeria, 2016 to 2019,’ </w:t>
      </w:r>
      <w:r w:rsidRPr="006B73E9">
        <w:rPr>
          <w:rFonts w:ascii="Cambria" w:hAnsi="Cambria"/>
          <w:i/>
          <w:iCs/>
          <w:sz w:val="21"/>
          <w:szCs w:val="21"/>
        </w:rPr>
        <w:t>PNAS</w:t>
      </w:r>
      <w:r w:rsidRPr="006B73E9">
        <w:rPr>
          <w:rFonts w:ascii="Cambria" w:hAnsi="Cambria"/>
          <w:sz w:val="21"/>
          <w:szCs w:val="21"/>
        </w:rPr>
        <w:t xml:space="preserve">, July </w:t>
      </w:r>
      <w:r w:rsidR="00B2074E">
        <w:rPr>
          <w:rFonts w:ascii="Cambria" w:hAnsi="Cambria"/>
          <w:sz w:val="21"/>
          <w:szCs w:val="21"/>
        </w:rPr>
        <w:t>2023</w:t>
      </w:r>
      <w:r w:rsidRPr="006B73E9">
        <w:rPr>
          <w:rFonts w:ascii="Cambria" w:hAnsi="Cambria"/>
          <w:sz w:val="21"/>
          <w:szCs w:val="21"/>
        </w:rPr>
        <w:t xml:space="preserve">, 120 (30) e2217601120 </w:t>
      </w:r>
      <w:hyperlink r:id="rId7" w:history="1">
        <w:r w:rsidRPr="006B73E9">
          <w:rPr>
            <w:rStyle w:val="Hyperlink"/>
            <w:rFonts w:ascii="Cambria" w:hAnsi="Cambria"/>
            <w:sz w:val="21"/>
            <w:szCs w:val="21"/>
          </w:rPr>
          <w:t>https://doi.org/10.1073/pnas.2217601120</w:t>
        </w:r>
      </w:hyperlink>
    </w:p>
    <w:p w14:paraId="48CC79B3" w14:textId="77777777" w:rsidR="006B73E9" w:rsidRPr="006B73E9" w:rsidRDefault="006B73E9" w:rsidP="006B73E9">
      <w:pPr>
        <w:spacing w:line="276" w:lineRule="auto"/>
        <w:rPr>
          <w:rFonts w:ascii="Cambria" w:hAnsi="Cambria"/>
          <w:sz w:val="21"/>
          <w:szCs w:val="21"/>
        </w:rPr>
      </w:pPr>
    </w:p>
    <w:p w14:paraId="6765A3D0" w14:textId="43267DD9" w:rsidR="006B73E9" w:rsidRPr="006B73E9" w:rsidRDefault="006B73E9" w:rsidP="006B73E9">
      <w:pPr>
        <w:spacing w:line="276" w:lineRule="auto"/>
        <w:rPr>
          <w:rFonts w:ascii="Cambria" w:hAnsi="Cambria"/>
          <w:b/>
          <w:bCs/>
          <w:sz w:val="21"/>
          <w:szCs w:val="21"/>
        </w:rPr>
      </w:pPr>
      <w:r w:rsidRPr="006B73E9">
        <w:rPr>
          <w:rFonts w:ascii="Cambria" w:hAnsi="Cambria"/>
          <w:b/>
          <w:bCs/>
          <w:sz w:val="21"/>
          <w:szCs w:val="21"/>
        </w:rPr>
        <w:t>Yemen</w:t>
      </w:r>
      <w:r>
        <w:rPr>
          <w:rFonts w:ascii="Cambria" w:hAnsi="Cambria"/>
          <w:b/>
          <w:bCs/>
          <w:sz w:val="21"/>
          <w:szCs w:val="21"/>
        </w:rPr>
        <w:t xml:space="preserve"> 2015-2021</w:t>
      </w:r>
    </w:p>
    <w:p w14:paraId="414A4FF5" w14:textId="3A183D45" w:rsidR="006B73E9" w:rsidRPr="006B73E9" w:rsidRDefault="006B73E9" w:rsidP="006B73E9">
      <w:pPr>
        <w:spacing w:line="276" w:lineRule="auto"/>
        <w:rPr>
          <w:rFonts w:ascii="Cambria" w:hAnsi="Cambria"/>
          <w:sz w:val="21"/>
          <w:szCs w:val="21"/>
        </w:rPr>
      </w:pPr>
      <w:r>
        <w:rPr>
          <w:rFonts w:ascii="Cambria" w:hAnsi="Cambria"/>
          <w:sz w:val="21"/>
          <w:szCs w:val="21"/>
        </w:rPr>
        <w:t xml:space="preserve">Hanna, T., D. Bohl and J. Moyer, </w:t>
      </w:r>
      <w:r w:rsidRPr="006B73E9">
        <w:rPr>
          <w:rFonts w:ascii="Cambria" w:hAnsi="Cambria"/>
          <w:sz w:val="21"/>
          <w:szCs w:val="21"/>
        </w:rPr>
        <w:t xml:space="preserve"> ‘Assessing the Impact of War in Yemen: Pathways for Recovery,’ </w:t>
      </w:r>
      <w:r>
        <w:rPr>
          <w:rFonts w:ascii="Cambria" w:hAnsi="Cambria"/>
          <w:sz w:val="21"/>
          <w:szCs w:val="21"/>
        </w:rPr>
        <w:t xml:space="preserve">UNDP, 23 </w:t>
      </w:r>
      <w:r w:rsidRPr="006B73E9">
        <w:rPr>
          <w:rFonts w:ascii="Cambria" w:hAnsi="Cambria"/>
          <w:sz w:val="21"/>
          <w:szCs w:val="21"/>
        </w:rPr>
        <w:t xml:space="preserve">November </w:t>
      </w:r>
      <w:r>
        <w:rPr>
          <w:rFonts w:ascii="Cambria" w:hAnsi="Cambria"/>
          <w:sz w:val="21"/>
          <w:szCs w:val="21"/>
        </w:rPr>
        <w:t>2021.</w:t>
      </w:r>
      <w:r w:rsidRPr="006B73E9">
        <w:rPr>
          <w:rFonts w:ascii="Cambria" w:hAnsi="Cambria"/>
          <w:sz w:val="21"/>
          <w:szCs w:val="21"/>
        </w:rPr>
        <w:t xml:space="preserve"> </w:t>
      </w:r>
    </w:p>
    <w:p w14:paraId="5AEA4B56" w14:textId="77777777" w:rsidR="006B73E9" w:rsidRPr="006B73E9" w:rsidRDefault="00000000" w:rsidP="006B73E9">
      <w:pPr>
        <w:spacing w:line="276" w:lineRule="auto"/>
        <w:rPr>
          <w:rFonts w:ascii="Cambria" w:hAnsi="Cambria"/>
          <w:sz w:val="21"/>
          <w:szCs w:val="21"/>
        </w:rPr>
      </w:pPr>
      <w:hyperlink r:id="rId8" w:history="1">
        <w:r w:rsidR="006B73E9" w:rsidRPr="006B73E9">
          <w:rPr>
            <w:rStyle w:val="Hyperlink"/>
            <w:rFonts w:ascii="Cambria" w:hAnsi="Cambria"/>
            <w:sz w:val="21"/>
            <w:szCs w:val="21"/>
          </w:rPr>
          <w:t>https://www.undp.org/publications/assessing-impact-war-yemen-pathways-recovery</w:t>
        </w:r>
      </w:hyperlink>
    </w:p>
    <w:p w14:paraId="5E7D5C53" w14:textId="77777777" w:rsidR="006B73E9" w:rsidRPr="006B73E9" w:rsidRDefault="006B73E9" w:rsidP="006B73E9">
      <w:pPr>
        <w:spacing w:line="276" w:lineRule="auto"/>
        <w:rPr>
          <w:rFonts w:ascii="Cambria" w:hAnsi="Cambria"/>
          <w:sz w:val="21"/>
          <w:szCs w:val="21"/>
        </w:rPr>
      </w:pPr>
    </w:p>
    <w:p w14:paraId="0A4BC342" w14:textId="77777777" w:rsidR="006B73E9" w:rsidRPr="006B73E9" w:rsidRDefault="006B73E9" w:rsidP="006B73E9">
      <w:pPr>
        <w:spacing w:line="276" w:lineRule="auto"/>
        <w:rPr>
          <w:rFonts w:ascii="Cambria" w:hAnsi="Cambria"/>
          <w:b/>
          <w:bCs/>
          <w:sz w:val="21"/>
          <w:szCs w:val="21"/>
        </w:rPr>
      </w:pPr>
      <w:r w:rsidRPr="006B73E9">
        <w:rPr>
          <w:rFonts w:ascii="Cambria" w:hAnsi="Cambria"/>
          <w:sz w:val="21"/>
          <w:szCs w:val="21"/>
        </w:rPr>
        <w:t xml:space="preserve"> </w:t>
      </w:r>
      <w:r w:rsidRPr="006B73E9">
        <w:rPr>
          <w:rFonts w:ascii="Cambria" w:hAnsi="Cambria"/>
          <w:b/>
          <w:bCs/>
          <w:sz w:val="21"/>
          <w:szCs w:val="21"/>
        </w:rPr>
        <w:t>Tigray, Ethiopia, 2020-2022</w:t>
      </w:r>
    </w:p>
    <w:p w14:paraId="178E6C0F" w14:textId="54EFA504" w:rsidR="006B73E9" w:rsidRPr="006B73E9" w:rsidRDefault="006B73E9" w:rsidP="006B73E9">
      <w:pPr>
        <w:spacing w:line="276" w:lineRule="auto"/>
        <w:rPr>
          <w:rFonts w:ascii="Cambria" w:hAnsi="Cambria"/>
          <w:sz w:val="21"/>
          <w:szCs w:val="21"/>
        </w:rPr>
      </w:pPr>
      <w:r w:rsidRPr="006B73E9">
        <w:rPr>
          <w:rFonts w:ascii="Cambria" w:hAnsi="Cambria"/>
          <w:sz w:val="21"/>
          <w:szCs w:val="21"/>
        </w:rPr>
        <w:t>Jan Nyssen et al., ‘Documenting the civilian victims of the Tigray war.’ London, Royal Holloway Centre for International Security and Every Casualty Counts, Webinar 19 January 2023.</w:t>
      </w:r>
    </w:p>
    <w:p w14:paraId="4DD42DF3" w14:textId="77777777" w:rsidR="006B73E9" w:rsidRPr="006B73E9" w:rsidRDefault="00000000" w:rsidP="006B73E9">
      <w:pPr>
        <w:spacing w:line="276" w:lineRule="auto"/>
        <w:rPr>
          <w:rFonts w:ascii="Cambria" w:hAnsi="Cambria"/>
          <w:sz w:val="21"/>
          <w:szCs w:val="21"/>
        </w:rPr>
      </w:pPr>
      <w:hyperlink r:id="rId9" w:history="1">
        <w:r w:rsidR="006B73E9" w:rsidRPr="006B73E9">
          <w:rPr>
            <w:rStyle w:val="Hyperlink"/>
            <w:rFonts w:ascii="Cambria" w:hAnsi="Cambria"/>
            <w:sz w:val="21"/>
            <w:szCs w:val="21"/>
          </w:rPr>
          <w:t>https://www.youtube.com/watch?v=J48EHrbcsBw</w:t>
        </w:r>
      </w:hyperlink>
    </w:p>
    <w:p w14:paraId="3F650964" w14:textId="77777777" w:rsidR="006B73E9" w:rsidRPr="006B73E9" w:rsidRDefault="006B73E9" w:rsidP="006B73E9">
      <w:pPr>
        <w:spacing w:line="276" w:lineRule="auto"/>
        <w:rPr>
          <w:rFonts w:ascii="Cambria" w:hAnsi="Cambria"/>
          <w:sz w:val="21"/>
          <w:szCs w:val="21"/>
        </w:rPr>
      </w:pPr>
    </w:p>
    <w:p w14:paraId="18C338DF" w14:textId="77777777" w:rsidR="006B73E9" w:rsidRPr="006B73E9" w:rsidRDefault="006B73E9">
      <w:pPr>
        <w:rPr>
          <w:rFonts w:ascii="Cambria" w:hAnsi="Cambria"/>
          <w:sz w:val="21"/>
          <w:szCs w:val="21"/>
        </w:rPr>
      </w:pPr>
    </w:p>
    <w:sectPr w:rsidR="006B73E9" w:rsidRPr="006B73E9" w:rsidSect="006B73E9">
      <w:pgSz w:w="16320" w:h="211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A6"/>
    <w:rsid w:val="000C5624"/>
    <w:rsid w:val="00116652"/>
    <w:rsid w:val="005668A6"/>
    <w:rsid w:val="00577684"/>
    <w:rsid w:val="005F7ACB"/>
    <w:rsid w:val="006A3C66"/>
    <w:rsid w:val="006B73E9"/>
    <w:rsid w:val="006D259F"/>
    <w:rsid w:val="007B2A9B"/>
    <w:rsid w:val="0089718A"/>
    <w:rsid w:val="00950F62"/>
    <w:rsid w:val="00AA34F6"/>
    <w:rsid w:val="00AB232D"/>
    <w:rsid w:val="00AF1C81"/>
    <w:rsid w:val="00B2074E"/>
    <w:rsid w:val="00B43F58"/>
    <w:rsid w:val="00B579A4"/>
    <w:rsid w:val="00B77652"/>
    <w:rsid w:val="00BD18AA"/>
    <w:rsid w:val="00C077C8"/>
    <w:rsid w:val="00CF1906"/>
    <w:rsid w:val="00DC3E0C"/>
    <w:rsid w:val="00DE0923"/>
    <w:rsid w:val="00EB4BB3"/>
    <w:rsid w:val="00EE2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67D5C9"/>
  <w15:chartTrackingRefBased/>
  <w15:docId w15:val="{8C1FCCC4-95E9-1D4F-842F-3D723AE6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950F62"/>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668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8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8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8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8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8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8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8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qFormat/>
    <w:rsid w:val="00950F62"/>
    <w:pPr>
      <w:spacing w:before="0"/>
    </w:pPr>
    <w:rPr>
      <w:rFonts w:ascii="Cambria" w:hAnsi="Cambria"/>
      <w:b/>
      <w:color w:val="000000" w:themeColor="text1"/>
      <w:kern w:val="0"/>
      <w14:ligatures w14:val="none"/>
    </w:rPr>
  </w:style>
  <w:style w:type="character" w:customStyle="1" w:styleId="Heading1Char">
    <w:name w:val="Heading 1 Char"/>
    <w:basedOn w:val="DefaultParagraphFont"/>
    <w:link w:val="Heading1"/>
    <w:uiPriority w:val="9"/>
    <w:rsid w:val="00950F62"/>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5668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8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8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8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8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8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8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8A6"/>
    <w:rPr>
      <w:rFonts w:eastAsiaTheme="majorEastAsia" w:cstheme="majorBidi"/>
      <w:color w:val="272727" w:themeColor="text1" w:themeTint="D8"/>
    </w:rPr>
  </w:style>
  <w:style w:type="paragraph" w:styleId="Title">
    <w:name w:val="Title"/>
    <w:basedOn w:val="Normal"/>
    <w:next w:val="Normal"/>
    <w:link w:val="TitleChar"/>
    <w:uiPriority w:val="10"/>
    <w:qFormat/>
    <w:rsid w:val="005668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8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8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8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8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68A6"/>
    <w:rPr>
      <w:i/>
      <w:iCs/>
      <w:color w:val="404040" w:themeColor="text1" w:themeTint="BF"/>
    </w:rPr>
  </w:style>
  <w:style w:type="paragraph" w:styleId="ListParagraph">
    <w:name w:val="List Paragraph"/>
    <w:basedOn w:val="Normal"/>
    <w:uiPriority w:val="34"/>
    <w:qFormat/>
    <w:rsid w:val="005668A6"/>
    <w:pPr>
      <w:ind w:left="720"/>
      <w:contextualSpacing/>
    </w:pPr>
  </w:style>
  <w:style w:type="character" w:styleId="IntenseEmphasis">
    <w:name w:val="Intense Emphasis"/>
    <w:basedOn w:val="DefaultParagraphFont"/>
    <w:uiPriority w:val="21"/>
    <w:qFormat/>
    <w:rsid w:val="005668A6"/>
    <w:rPr>
      <w:i/>
      <w:iCs/>
      <w:color w:val="0F4761" w:themeColor="accent1" w:themeShade="BF"/>
    </w:rPr>
  </w:style>
  <w:style w:type="paragraph" w:styleId="IntenseQuote">
    <w:name w:val="Intense Quote"/>
    <w:basedOn w:val="Normal"/>
    <w:next w:val="Normal"/>
    <w:link w:val="IntenseQuoteChar"/>
    <w:uiPriority w:val="30"/>
    <w:qFormat/>
    <w:rsid w:val="005668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8A6"/>
    <w:rPr>
      <w:i/>
      <w:iCs/>
      <w:color w:val="0F4761" w:themeColor="accent1" w:themeShade="BF"/>
    </w:rPr>
  </w:style>
  <w:style w:type="character" w:styleId="IntenseReference">
    <w:name w:val="Intense Reference"/>
    <w:basedOn w:val="DefaultParagraphFont"/>
    <w:uiPriority w:val="32"/>
    <w:qFormat/>
    <w:rsid w:val="005668A6"/>
    <w:rPr>
      <w:b/>
      <w:bCs/>
      <w:smallCaps/>
      <w:color w:val="0F4761" w:themeColor="accent1" w:themeShade="BF"/>
      <w:spacing w:val="5"/>
    </w:rPr>
  </w:style>
  <w:style w:type="character" w:styleId="Hyperlink">
    <w:name w:val="Hyperlink"/>
    <w:basedOn w:val="DefaultParagraphFont"/>
    <w:uiPriority w:val="99"/>
    <w:unhideWhenUsed/>
    <w:rsid w:val="006B73E9"/>
    <w:rPr>
      <w:color w:val="467886" w:themeColor="hyperlink"/>
      <w:u w:val="single"/>
    </w:rPr>
  </w:style>
  <w:style w:type="character" w:styleId="FollowedHyperlink">
    <w:name w:val="FollowedHyperlink"/>
    <w:basedOn w:val="DefaultParagraphFont"/>
    <w:uiPriority w:val="99"/>
    <w:semiHidden/>
    <w:unhideWhenUsed/>
    <w:rsid w:val="006B73E9"/>
    <w:rPr>
      <w:color w:val="96607D" w:themeColor="followedHyperlink"/>
      <w:u w:val="single"/>
    </w:rPr>
  </w:style>
  <w:style w:type="character" w:styleId="UnresolvedMention">
    <w:name w:val="Unresolved Mention"/>
    <w:basedOn w:val="DefaultParagraphFont"/>
    <w:uiPriority w:val="99"/>
    <w:semiHidden/>
    <w:unhideWhenUsed/>
    <w:rsid w:val="00B20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6516">
      <w:bodyDiv w:val="1"/>
      <w:marLeft w:val="0"/>
      <w:marRight w:val="0"/>
      <w:marTop w:val="0"/>
      <w:marBottom w:val="0"/>
      <w:divBdr>
        <w:top w:val="none" w:sz="0" w:space="0" w:color="auto"/>
        <w:left w:val="none" w:sz="0" w:space="0" w:color="auto"/>
        <w:bottom w:val="none" w:sz="0" w:space="0" w:color="auto"/>
        <w:right w:val="none" w:sz="0" w:space="0" w:color="auto"/>
      </w:divBdr>
    </w:div>
    <w:div w:id="3017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p.org/publications/assessing-impact-war-yemen-pathways-recovery" TargetMode="External"/><Relationship Id="rId3" Type="http://schemas.openxmlformats.org/officeDocument/2006/relationships/webSettings" Target="webSettings.xml"/><Relationship Id="rId7" Type="http://schemas.openxmlformats.org/officeDocument/2006/relationships/hyperlink" Target="https://doi.org/10.1073/pnas.22176011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liefweb.int/report/somalia/mortality-among-populations-southern-and-central-somalia-affected-severe-food" TargetMode="External"/><Relationship Id="rId11" Type="http://schemas.openxmlformats.org/officeDocument/2006/relationships/theme" Target="theme/theme1.xml"/><Relationship Id="rId5" Type="http://schemas.openxmlformats.org/officeDocument/2006/relationships/hyperlink" Target="https://reliefweb.int/report/somalia/fsnau-technical-series-report-no-vi-46-food-security-and-nutrition-analysis-post-gu" TargetMode="External"/><Relationship Id="rId10" Type="http://schemas.openxmlformats.org/officeDocument/2006/relationships/fontTable" Target="fontTable.xml"/><Relationship Id="rId4" Type="http://schemas.openxmlformats.org/officeDocument/2006/relationships/hyperlink" Target="https://www.ipcinfo.org/ipc-country-analysis/population-tracking-tool/en/" TargetMode="External"/><Relationship Id="rId9" Type="http://schemas.openxmlformats.org/officeDocument/2006/relationships/hyperlink" Target="https://www.youtube.com/watch?v=J48EHrbcs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DeWaal, Alex</dc:creator>
  <cp:keywords/>
  <dc:description/>
  <cp:lastModifiedBy>Avery, Lisa M.</cp:lastModifiedBy>
  <cp:revision>2</cp:revision>
  <dcterms:created xsi:type="dcterms:W3CDTF">2024-10-01T19:43:00Z</dcterms:created>
  <dcterms:modified xsi:type="dcterms:W3CDTF">2024-10-01T19:43:00Z</dcterms:modified>
</cp:coreProperties>
</file>